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rPr>
          <w:rFonts w:ascii="Calibri" w:hAnsi="Calibri" w:cs="Calibri"/>
          <w:b/>
          <w:bCs/>
          <w:color w:val="D60B57"/>
          <w:sz w:val="40"/>
          <w:szCs w:val="40"/>
        </w:rPr>
      </w:pPr>
      <w:r>
        <w:rPr>
          <w:rFonts w:cs="Calibri"/>
          <w:b/>
          <w:bCs/>
          <w:color w:val="D60B57"/>
          <w:sz w:val="40"/>
          <w:szCs w:val="40"/>
        </w:rPr>
        <w:t>WYMAGANIA EDUKACYJNE. KLASA 8</w:t>
      </w:r>
    </w:p>
    <w:tbl>
      <w:tblPr>
        <w:tblW w:w="13876" w:type="dxa"/>
        <w:jc w:val="left"/>
        <w:tblInd w:w="98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firstRow="0" w:noVBand="0" w:lastRow="0" w:firstColumn="0" w:lastColumn="0" w:noHBand="0" w:val="0000"/>
      </w:tblPr>
      <w:tblGrid>
        <w:gridCol w:w="516"/>
        <w:gridCol w:w="2589"/>
        <w:gridCol w:w="2270"/>
        <w:gridCol w:w="2116"/>
        <w:gridCol w:w="143"/>
        <w:gridCol w:w="190"/>
        <w:gridCol w:w="2018"/>
        <w:gridCol w:w="2016"/>
        <w:gridCol w:w="2017"/>
      </w:tblGrid>
      <w:tr>
        <w:trPr>
          <w:tblHeader w:val="true"/>
          <w:trHeight w:val="168" w:hRule="atLeast"/>
        </w:trPr>
        <w:tc>
          <w:tcPr>
            <w:tcW w:w="516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60B57" w:val="clear"/>
            <w:vAlign w:val="center"/>
          </w:tcPr>
          <w:p>
            <w:pPr>
              <w:pStyle w:val="Tabelagwka"/>
              <w:spacing w:lineRule="auto" w:line="24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Nr</w:t>
            </w:r>
          </w:p>
        </w:tc>
        <w:tc>
          <w:tcPr>
            <w:tcW w:w="2589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60B57" w:val="clear"/>
            <w:vAlign w:val="center"/>
          </w:tcPr>
          <w:p>
            <w:pPr>
              <w:pStyle w:val="Tabelagwka"/>
              <w:spacing w:lineRule="auto" w:line="24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Temat</w:t>
            </w:r>
          </w:p>
        </w:tc>
        <w:tc>
          <w:tcPr>
            <w:tcW w:w="1077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60B57" w:val="clear"/>
            <w:vAlign w:val="center"/>
          </w:tcPr>
          <w:p>
            <w:pPr>
              <w:pStyle w:val="Tabelagwka"/>
              <w:spacing w:lineRule="auto" w:line="24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Wymagania</w:t>
            </w:r>
          </w:p>
        </w:tc>
      </w:tr>
      <w:tr>
        <w:trPr>
          <w:tblHeader w:val="true"/>
          <w:trHeight w:val="20" w:hRule="atLeast"/>
        </w:trPr>
        <w:tc>
          <w:tcPr>
            <w:tcW w:w="516" w:type="dxa"/>
            <w:vMerge w:val="continue"/>
            <w:tcBorders>
              <w:top w:val="single" w:sz="6" w:space="0" w:color="D60B57"/>
              <w:left w:val="single" w:sz="6" w:space="0" w:color="FFFFFF"/>
              <w:bottom w:val="single" w:sz="6" w:space="0" w:color="D60B57"/>
              <w:right w:val="single" w:sz="6" w:space="0" w:color="FFFFFF"/>
            </w:tcBorders>
            <w:shd w:color="auto" w:fill="D60B57" w:val="clear"/>
            <w:vAlign w:val="center"/>
          </w:tcPr>
          <w:p>
            <w:pPr>
              <w:pStyle w:val="Tabelagwka"/>
              <w:spacing w:lineRule="auto" w:line="24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589" w:type="dxa"/>
            <w:vMerge w:val="continue"/>
            <w:tcBorders>
              <w:top w:val="single" w:sz="6" w:space="0" w:color="D60B57"/>
              <w:left w:val="single" w:sz="6" w:space="0" w:color="FFFFFF"/>
              <w:bottom w:val="single" w:sz="6" w:space="0" w:color="D60B57"/>
              <w:right w:val="single" w:sz="6" w:space="0" w:color="FFFFFF"/>
            </w:tcBorders>
            <w:shd w:color="auto" w:fill="D60B57" w:val="clear"/>
            <w:vAlign w:val="center"/>
          </w:tcPr>
          <w:p>
            <w:pPr>
              <w:pStyle w:val="Tabelagwka"/>
              <w:spacing w:lineRule="auto" w:line="24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60B57" w:val="clear"/>
            <w:vAlign w:val="center"/>
          </w:tcPr>
          <w:p>
            <w:pPr>
              <w:pStyle w:val="Tabelagwka"/>
              <w:spacing w:lineRule="auto" w:line="24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ocena dopuszczająca</w:t>
            </w:r>
          </w:p>
        </w:tc>
        <w:tc>
          <w:tcPr>
            <w:tcW w:w="2449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60B57" w:val="clear"/>
            <w:vAlign w:val="center"/>
          </w:tcPr>
          <w:p>
            <w:pPr>
              <w:pStyle w:val="Tabelagwka"/>
              <w:spacing w:lineRule="auto" w:line="24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ocena dostateczna</w:t>
            </w:r>
          </w:p>
        </w:tc>
        <w:tc>
          <w:tcPr>
            <w:tcW w:w="20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60B57" w:val="clear"/>
            <w:vAlign w:val="center"/>
          </w:tcPr>
          <w:p>
            <w:pPr>
              <w:pStyle w:val="Tabelagwka"/>
              <w:spacing w:lineRule="auto" w:line="24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ocena dobra</w:t>
            </w:r>
          </w:p>
        </w:tc>
        <w:tc>
          <w:tcPr>
            <w:tcW w:w="20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60B57" w:val="clear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pStyle w:val="Tabelagwka"/>
              <w:spacing w:lineRule="auto" w:line="24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ocena bardzo dobra</w:t>
            </w:r>
          </w:p>
        </w:tc>
        <w:tc>
          <w:tcPr>
            <w:tcW w:w="20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60B57" w:val="clear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pStyle w:val="Tabelagwka"/>
              <w:spacing w:lineRule="auto" w:line="24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ocena celująca</w:t>
            </w:r>
          </w:p>
        </w:tc>
      </w:tr>
      <w:tr>
        <w:trPr>
          <w:tblHeader w:val="true"/>
          <w:trHeight w:val="107" w:hRule="atLeast"/>
        </w:trPr>
        <w:tc>
          <w:tcPr>
            <w:tcW w:w="516" w:type="dxa"/>
            <w:vMerge w:val="continue"/>
            <w:tcBorders>
              <w:top w:val="single" w:sz="6" w:space="0" w:color="D60B57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60B57" w:val="clear"/>
            <w:vAlign w:val="center"/>
          </w:tcPr>
          <w:p>
            <w:pPr>
              <w:pStyle w:val="Tabelagwka"/>
              <w:spacing w:lineRule="auto" w:line="24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589" w:type="dxa"/>
            <w:vMerge w:val="continue"/>
            <w:tcBorders>
              <w:top w:val="single" w:sz="6" w:space="0" w:color="D60B57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60B57" w:val="clear"/>
            <w:vAlign w:val="center"/>
          </w:tcPr>
          <w:p>
            <w:pPr>
              <w:pStyle w:val="Tabelagwka"/>
              <w:spacing w:lineRule="auto" w:line="24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077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60B57" w:val="clear"/>
            <w:vAlign w:val="center"/>
          </w:tcPr>
          <w:p>
            <w:pPr>
              <w:pStyle w:val="Tabelagwka"/>
              <w:spacing w:lineRule="auto" w:line="24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Uczeń:</w:t>
            </w:r>
          </w:p>
        </w:tc>
      </w:tr>
      <w:tr>
        <w:trPr>
          <w:trHeight w:val="61" w:hRule="atLeast"/>
        </w:trPr>
        <w:tc>
          <w:tcPr>
            <w:tcW w:w="516" w:type="dxa"/>
            <w:tcBorders>
              <w:top w:val="single" w:sz="6" w:space="0" w:color="FFFFFF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FEF5E1" w:val="clear"/>
          </w:tcPr>
          <w:p>
            <w:pPr>
              <w:pStyle w:val="TabelatekstCENTERTabela"/>
              <w:spacing w:lineRule="auto" w:line="240" w:before="0" w:after="85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1</w:t>
            </w:r>
          </w:p>
        </w:tc>
        <w:tc>
          <w:tcPr>
            <w:tcW w:w="2589" w:type="dxa"/>
            <w:tcBorders>
              <w:top w:val="single" w:sz="6" w:space="0" w:color="FFFFFF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TabelatekstBEZWCIECIATabela"/>
              <w:spacing w:lineRule="auto" w:line="240" w:before="0" w:after="85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O czym będziemy się uczyć na lekcjach EDB – zasady bezpieczeństwa. Nasz klasowy kontrakt</w:t>
            </w:r>
          </w:p>
        </w:tc>
        <w:tc>
          <w:tcPr>
            <w:tcW w:w="2270" w:type="dxa"/>
            <w:tcBorders>
              <w:top w:val="single" w:sz="6" w:space="0" w:color="FFFFFF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TabelatekstCENTERTabela"/>
              <w:spacing w:lineRule="auto" w:line="240" w:before="0" w:after="85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-</w:t>
            </w:r>
          </w:p>
        </w:tc>
        <w:tc>
          <w:tcPr>
            <w:tcW w:w="2259" w:type="dxa"/>
            <w:gridSpan w:val="2"/>
            <w:tcBorders>
              <w:top w:val="single" w:sz="6" w:space="0" w:color="FFFFFF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-</w:t>
            </w:r>
          </w:p>
        </w:tc>
        <w:tc>
          <w:tcPr>
            <w:tcW w:w="2208" w:type="dxa"/>
            <w:gridSpan w:val="2"/>
            <w:tcBorders>
              <w:top w:val="single" w:sz="6" w:space="0" w:color="FFFFFF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Brakstyluakapitowego"/>
              <w:spacing w:lineRule="auto" w:line="240"/>
              <w:textAlignment w:val="auto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016" w:type="dxa"/>
            <w:tcBorders>
              <w:top w:val="single" w:sz="6" w:space="0" w:color="FFFFFF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>
            <w:pPr>
              <w:pStyle w:val="Brakstyluakapitowego"/>
              <w:spacing w:lineRule="auto" w:line="240"/>
              <w:textAlignment w:val="auto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017" w:type="dxa"/>
            <w:tcBorders>
              <w:top w:val="single" w:sz="6" w:space="0" w:color="FFFFFF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>
            <w:pPr>
              <w:pStyle w:val="Brakstyluakapitowego"/>
              <w:spacing w:lineRule="auto" w:line="240"/>
              <w:textAlignment w:val="auto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-</w:t>
            </w:r>
          </w:p>
        </w:tc>
      </w:tr>
      <w:tr>
        <w:trPr>
          <w:trHeight w:val="61" w:hRule="atLeast"/>
        </w:trPr>
        <w:tc>
          <w:tcPr>
            <w:tcW w:w="5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FEF5E1" w:val="clear"/>
          </w:tcPr>
          <w:p>
            <w:pPr>
              <w:pStyle w:val="TabelatekstCENTERTabela"/>
              <w:spacing w:lineRule="auto" w:line="240" w:before="0" w:after="85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2</w:t>
            </w:r>
          </w:p>
        </w:tc>
        <w:tc>
          <w:tcPr>
            <w:tcW w:w="2589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TabelatekstBEZWCIECIATabela"/>
              <w:spacing w:lineRule="auto" w:line="240" w:before="0" w:after="85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bCs/>
              </w:rPr>
              <w:t>Istota udzielania pierwszej pomocy</w:t>
            </w:r>
          </w:p>
        </w:tc>
        <w:tc>
          <w:tcPr>
            <w:tcW w:w="227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Akapitzlist3"/>
              <w:numPr>
                <w:ilvl w:val="0"/>
                <w:numId w:val="1"/>
              </w:numPr>
              <w:spacing w:lineRule="auto" w:line="240" w:before="0" w:after="0"/>
              <w:ind w:hanging="357" w:left="357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wyjaśnia zasady zachowania się ratujących (świadków zdarzenia) w miejscu wypadku</w:t>
            </w:r>
          </w:p>
          <w:p>
            <w:pPr>
              <w:pStyle w:val="TabelatekstCENTERTabela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259" w:type="dxa"/>
            <w:gridSpan w:val="2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uzasadnia znaczenie udzielania pierwszej pomocy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omawia zasady zabezpieczenia miejsca wypadku</w:t>
            </w:r>
          </w:p>
          <w:p>
            <w:pPr>
              <w:pStyle w:val="TabelatekstBEZWCIECIATabela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208" w:type="dxa"/>
            <w:gridSpan w:val="2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TabelatekstBEZWCIECIATabela"/>
              <w:numPr>
                <w:ilvl w:val="0"/>
                <w:numId w:val="1"/>
              </w:numPr>
              <w:spacing w:lineRule="auto" w:line="240" w:before="0" w:after="0"/>
              <w:ind w:hanging="357" w:left="357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 xml:space="preserve">omawia metody </w:t>
            </w:r>
            <w:r>
              <w:rPr>
                <w:rFonts w:cs="Calibri" w:ascii="Calibri" w:hAnsi="Calibri" w:asciiTheme="minorHAnsi" w:cstheme="minorHAnsi" w:hAnsiTheme="minorHAnsi"/>
              </w:rPr>
              <w:t>zapewnienia bezpieczeństwa własnego, osoby poszkodowanej i otoczenia w sytuacjach symulowanych podczas zajęć</w:t>
            </w:r>
          </w:p>
        </w:tc>
        <w:tc>
          <w:tcPr>
            <w:tcW w:w="20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wyjaśnia znaczenie podejmowania działań z zakresu udzielania pierwszej pomocy przez świadka zdarzenia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podaje przykłady zagrożeń w środowisku domowym, ulicznym, wodnym, w przestrzeniach podziemnych, w lasach</w:t>
            </w: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przedstawia rolę świadka zdarzenia w pierwszej pomocy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ocenia zachowanie się świadków zdarzenia (ratujących) na miejscu wypadku</w:t>
            </w:r>
          </w:p>
          <w:p>
            <w:pPr>
              <w:pStyle w:val="TabelatekstBEZWCIECIATabela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61" w:hRule="atLeast"/>
        </w:trPr>
        <w:tc>
          <w:tcPr>
            <w:tcW w:w="5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FEF5E1" w:val="clear"/>
          </w:tcPr>
          <w:p>
            <w:pPr>
              <w:pStyle w:val="TabelatekstCENTERTabela"/>
              <w:spacing w:lineRule="auto" w:line="240" w:before="0" w:after="85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3</w:t>
            </w:r>
          </w:p>
        </w:tc>
        <w:tc>
          <w:tcPr>
            <w:tcW w:w="2589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TabelatekstBEZWCIECIATabela"/>
              <w:spacing w:lineRule="auto" w:line="240" w:before="0" w:after="85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bCs/>
              </w:rPr>
              <w:t>Łańcuch ratunkowy – nie masz prawa go zerwać</w:t>
            </w:r>
          </w:p>
        </w:tc>
        <w:tc>
          <w:tcPr>
            <w:tcW w:w="227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clear" w:pos="709"/>
                <w:tab w:val="left" w:pos="176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rozpoznaje osobę w stanie zagrożenia życia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9"/>
                <w:tab w:val="left" w:pos="176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unika narażania własnego zdrowia na niebezpieczeństwo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9"/>
                <w:tab w:val="left" w:pos="176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ocenia własne możliwości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9"/>
                <w:tab w:val="left" w:pos="176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wzywa odpowiednią pomoc</w:t>
            </w:r>
          </w:p>
          <w:p>
            <w:pPr>
              <w:pStyle w:val="TabelatekstCENTERTabela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259" w:type="dxa"/>
            <w:gridSpan w:val="2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omawia zasady postępowania bezpiecznego dla ratownika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wyjaśnia zasady bezpiecz</w:t>
              <w:softHyphen/>
              <w:t>nego postępowania w rejonie wypadku</w:t>
            </w:r>
          </w:p>
          <w:p>
            <w:pPr>
              <w:pStyle w:val="TabelatekstBEZWCIECIATabela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208" w:type="dxa"/>
            <w:gridSpan w:val="2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rozpoznaje stopień zagrożenia osoby poszkodowanej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podaje przykład aplikacji na telefon komórkowy wspierającej udzielanie pierwszej pomocy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wskazuje sposoby zabezpieczenia się przed zakażeniem w kontakcie z krwią i płynami ustrojowymi, stosowania uniwersalnych środków ochrony osobistej</w:t>
            </w:r>
          </w:p>
          <w:p>
            <w:pPr>
              <w:pStyle w:val="TabelatekstBEZWCIECIATabela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0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>
            <w:pPr>
              <w:pStyle w:val="Akapitzlist3"/>
              <w:numPr>
                <w:ilvl w:val="0"/>
                <w:numId w:val="2"/>
              </w:numPr>
              <w:spacing w:lineRule="auto" w:line="240" w:before="0" w:after="0"/>
              <w:ind w:hanging="357" w:left="357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wyjaśnia pojęcie „stan zagrożenia życia”</w:t>
            </w:r>
          </w:p>
          <w:p>
            <w:pPr>
              <w:pStyle w:val="Akapitzlist3"/>
              <w:numPr>
                <w:ilvl w:val="0"/>
                <w:numId w:val="2"/>
              </w:numPr>
              <w:spacing w:lineRule="auto" w:line="240" w:before="0" w:after="0"/>
              <w:ind w:hanging="357" w:left="357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rozpoznaje potencjalne źródła zagrożeń w kontakcie z poszkodowanym</w:t>
            </w:r>
          </w:p>
          <w:p>
            <w:pPr>
              <w:pStyle w:val="Normal"/>
              <w:spacing w:lineRule="auto" w:line="240" w:before="0" w:after="0"/>
              <w:ind w:left="110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  <w:p>
            <w:pPr>
              <w:pStyle w:val="TabelatekstBEZWCIECIATabela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>
            <w:pPr>
              <w:pStyle w:val="Akapitzlist3"/>
              <w:numPr>
                <w:ilvl w:val="0"/>
                <w:numId w:val="2"/>
              </w:numPr>
              <w:spacing w:lineRule="auto" w:line="240" w:before="0" w:after="0"/>
              <w:ind w:hanging="357" w:left="357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uzasadnia, że prawidłowe wezwanie pomocy może mieć istotne znaczenie dla ratowania życia poszkodowanych</w:t>
            </w:r>
          </w:p>
          <w:p>
            <w:pPr>
              <w:pStyle w:val="Akapitzlist3"/>
              <w:numPr>
                <w:ilvl w:val="0"/>
                <w:numId w:val="2"/>
              </w:numPr>
              <w:spacing w:lineRule="auto" w:line="240" w:before="0" w:after="0"/>
              <w:ind w:hanging="357" w:left="357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charakteryzuje poszczególne ogniwa łańcucha ratunkowego</w:t>
            </w:r>
          </w:p>
          <w:p>
            <w:pPr>
              <w:pStyle w:val="Akapitzlist3"/>
              <w:numPr>
                <w:ilvl w:val="0"/>
                <w:numId w:val="2"/>
              </w:numPr>
              <w:spacing w:lineRule="auto" w:line="240" w:before="0" w:after="0"/>
              <w:ind w:hanging="357" w:left="357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wskazuje przyczyny i okoliczności prowadzące do szybkiego pogorszenie stanu zdrowia lub zagrożenia życia</w:t>
            </w:r>
          </w:p>
        </w:tc>
      </w:tr>
      <w:tr>
        <w:trPr>
          <w:trHeight w:val="61" w:hRule="atLeast"/>
        </w:trPr>
        <w:tc>
          <w:tcPr>
            <w:tcW w:w="5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FEF5E1" w:val="clear"/>
          </w:tcPr>
          <w:p>
            <w:pPr>
              <w:pStyle w:val="TabelatekstCENTERTabela"/>
              <w:spacing w:lineRule="auto" w:line="240" w:before="0" w:after="85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4</w:t>
            </w:r>
          </w:p>
        </w:tc>
        <w:tc>
          <w:tcPr>
            <w:tcW w:w="2589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TabelatekstBEZWCIECIATabela"/>
              <w:spacing w:lineRule="auto" w:line="240" w:before="0" w:after="85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bCs/>
              </w:rPr>
              <w:t>Ocena stanu poszkodowanych</w:t>
            </w:r>
          </w:p>
        </w:tc>
        <w:tc>
          <w:tcPr>
            <w:tcW w:w="227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Akapitzlist3"/>
              <w:numPr>
                <w:ilvl w:val="0"/>
                <w:numId w:val="3"/>
              </w:numPr>
              <w:tabs>
                <w:tab w:val="clear" w:pos="709"/>
                <w:tab w:val="left" w:pos="34" w:leader="none"/>
              </w:tabs>
              <w:spacing w:lineRule="auto" w:line="240" w:before="0" w:after="0"/>
              <w:ind w:hanging="357" w:left="357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ocenia przytomność poszkodowanego</w:t>
            </w:r>
          </w:p>
          <w:p>
            <w:pPr>
              <w:pStyle w:val="Akapitzlist3"/>
              <w:numPr>
                <w:ilvl w:val="0"/>
                <w:numId w:val="3"/>
              </w:numPr>
              <w:tabs>
                <w:tab w:val="clear" w:pos="709"/>
                <w:tab w:val="left" w:pos="34" w:leader="none"/>
              </w:tabs>
              <w:spacing w:lineRule="auto" w:line="240" w:before="0" w:after="0"/>
              <w:ind w:hanging="357" w:left="357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ocenia czynność oddychania u osoby nieprzytomnej (trzema zmysłami, przez okres do 10 sekund)</w:t>
            </w:r>
          </w:p>
          <w:p>
            <w:pPr>
              <w:pStyle w:val="Akapitzlist3"/>
              <w:numPr>
                <w:ilvl w:val="0"/>
                <w:numId w:val="3"/>
              </w:numPr>
              <w:tabs>
                <w:tab w:val="clear" w:pos="709"/>
                <w:tab w:val="left" w:pos="34" w:leader="none"/>
              </w:tabs>
              <w:spacing w:lineRule="auto" w:line="240" w:before="0" w:after="0"/>
              <w:ind w:hanging="357" w:left="357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udrożnia drogi oddechowe rękoczynem czoło</w:t>
            </w:r>
            <w:r>
              <w:rPr>
                <w:rStyle w:val="Apple-converted-space"/>
                <w:rFonts w:cs="Calibri" w:cstheme="minorHAnsi"/>
                <w:sz w:val="18"/>
                <w:szCs w:val="18"/>
              </w:rPr>
              <w:t>–</w:t>
            </w:r>
            <w:r>
              <w:rPr>
                <w:rFonts w:cs="Calibri" w:cstheme="minorHAnsi"/>
                <w:sz w:val="18"/>
                <w:szCs w:val="18"/>
              </w:rPr>
              <w:t>żuchwa</w:t>
            </w:r>
          </w:p>
          <w:p>
            <w:pPr>
              <w:pStyle w:val="Akapitzlist3"/>
              <w:numPr>
                <w:ilvl w:val="0"/>
                <w:numId w:val="3"/>
              </w:numPr>
              <w:tabs>
                <w:tab w:val="clear" w:pos="709"/>
                <w:tab w:val="left" w:pos="34" w:leader="none"/>
              </w:tabs>
              <w:spacing w:lineRule="auto" w:line="240" w:before="0" w:after="0"/>
              <w:ind w:hanging="357" w:left="357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systematycznie ponawia ocenę oddychania u osoby nieprzytomnej</w:t>
            </w:r>
          </w:p>
          <w:p>
            <w:pPr>
              <w:pStyle w:val="Akapitzlist3"/>
              <w:numPr>
                <w:ilvl w:val="0"/>
                <w:numId w:val="3"/>
              </w:numPr>
              <w:tabs>
                <w:tab w:val="clear" w:pos="709"/>
                <w:tab w:val="left" w:pos="34" w:leader="none"/>
              </w:tabs>
              <w:spacing w:lineRule="auto" w:line="240" w:before="0" w:after="0"/>
              <w:ind w:hanging="357" w:left="357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wzywa odpowiednią pomoc</w:t>
            </w:r>
          </w:p>
        </w:tc>
        <w:tc>
          <w:tcPr>
            <w:tcW w:w="2259" w:type="dxa"/>
            <w:gridSpan w:val="2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Akapitzlist3"/>
              <w:numPr>
                <w:ilvl w:val="0"/>
                <w:numId w:val="3"/>
              </w:numPr>
              <w:spacing w:lineRule="auto" w:line="240" w:before="0" w:after="0"/>
              <w:ind w:hanging="357" w:left="357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rozpoznaje u osoby stan zagrożenia życia</w:t>
            </w:r>
          </w:p>
          <w:p>
            <w:pPr>
              <w:pStyle w:val="Akapitzlist3"/>
              <w:numPr>
                <w:ilvl w:val="0"/>
                <w:numId w:val="3"/>
              </w:numPr>
              <w:spacing w:lineRule="auto" w:line="240" w:before="0" w:after="0"/>
              <w:ind w:hanging="357" w:left="357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wyjaśnia mechanizm niedrożności dróg oddechowych u osoby nieprzytomnej</w:t>
            </w:r>
          </w:p>
          <w:p>
            <w:pPr>
              <w:pStyle w:val="Akapitzlist3"/>
              <w:numPr>
                <w:ilvl w:val="0"/>
                <w:numId w:val="3"/>
              </w:numPr>
              <w:spacing w:lineRule="auto" w:line="240" w:before="0" w:after="0"/>
              <w:ind w:hanging="357" w:left="357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postępuje według poznanego schematu ratunkowego</w:t>
            </w:r>
          </w:p>
          <w:p>
            <w:pPr>
              <w:pStyle w:val="TabelatekstBEZWCIECIATabela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208" w:type="dxa"/>
            <w:gridSpan w:val="2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omawia zasady postępowania bezpiecznego dla ratownika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odwraca na plecy poszkodowanego leżącego na brzuchu, gdy zachodzi taka konieczność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rozpoznaje stopień zagrożenia osoby poszkodowanej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  <w:p>
            <w:pPr>
              <w:pStyle w:val="TabelatekstBEZWCIECIATabela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0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wymienia objawy utraty przytomności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wyjaśnia zasady bezpiecz</w:t>
              <w:softHyphen/>
              <w:t>nego postępowania w rejonie wypadku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podaje przykłady zagrożeń w środowisku domowym, ulicznym, wodnym, w przestrzeniach podziemnych, w lasach</w:t>
            </w:r>
          </w:p>
          <w:p>
            <w:pPr>
              <w:pStyle w:val="TabelatekstBEZWCIECIATabela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dowodzi konieczności udzielania pierwszej pomocy w przypadku zaburzeń czynności życiowych poszkodowanego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wyjaśnia rolę układu nerwowego, układu krwionośnego i układu oddechowego w utrzymywaniu podstawowych funkcji życiowych</w:t>
            </w:r>
          </w:p>
          <w:p>
            <w:pPr>
              <w:pStyle w:val="TabelatekstBEZWCIECIATabela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61" w:hRule="atLeast"/>
        </w:trPr>
        <w:tc>
          <w:tcPr>
            <w:tcW w:w="5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FEF5E1" w:val="clear"/>
          </w:tcPr>
          <w:p>
            <w:pPr>
              <w:pStyle w:val="TabelatekstCENTERTabela"/>
              <w:spacing w:lineRule="auto" w:line="240" w:before="0" w:after="85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5</w:t>
            </w:r>
          </w:p>
        </w:tc>
        <w:tc>
          <w:tcPr>
            <w:tcW w:w="2589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TabelatekstBEZWCIECIATabela"/>
              <w:spacing w:lineRule="auto" w:line="240" w:before="0" w:after="85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bCs/>
              </w:rPr>
              <w:t>Postępowanie podczas utraty przytomności i zasłabnięć</w:t>
            </w:r>
          </w:p>
        </w:tc>
        <w:tc>
          <w:tcPr>
            <w:tcW w:w="227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clear" w:pos="709"/>
                <w:tab w:val="left" w:pos="176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ocenia przytomność poszkodowanego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val="clear" w:pos="709"/>
                <w:tab w:val="left" w:pos="176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udrożnia drogi oddechowe rękoczynem czoło</w:t>
            </w:r>
            <w:r>
              <w:rPr>
                <w:rStyle w:val="Apple-converted-space"/>
                <w:rFonts w:cs="Calibri" w:cstheme="minorHAnsi"/>
                <w:sz w:val="18"/>
                <w:szCs w:val="18"/>
              </w:rPr>
              <w:t>–</w:t>
            </w:r>
            <w:r>
              <w:rPr>
                <w:rFonts w:cs="Calibri" w:cstheme="minorHAnsi"/>
                <w:sz w:val="18"/>
                <w:szCs w:val="18"/>
              </w:rPr>
              <w:t>żuchwa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val="clear" w:pos="709"/>
                <w:tab w:val="left" w:pos="176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ocenia czynność oddychania u osoby nieprzytomnej (trzema zmysłami, przez okres do 10 sekund)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val="clear" w:pos="709"/>
                <w:tab w:val="left" w:pos="176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systematycznie ponawia ocenę oddychania u osoby nieprzytomnej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val="clear" w:pos="709"/>
                <w:tab w:val="left" w:pos="176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układa osobę nieprzytomną w pozycji bezpiecznej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val="clear" w:pos="709"/>
                <w:tab w:val="left" w:pos="176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wzywa odpowiednią pomoc</w:t>
            </w:r>
          </w:p>
        </w:tc>
        <w:tc>
          <w:tcPr>
            <w:tcW w:w="2259" w:type="dxa"/>
            <w:gridSpan w:val="2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postępuje według poznanego schematu ratunkowego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udziela pomocy osobie omdlałej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wymienia zagrożenia dla osoby nieprzytomnej</w:t>
            </w:r>
          </w:p>
          <w:p>
            <w:pPr>
              <w:pStyle w:val="TabelatekstBEZWCIECIATabela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208" w:type="dxa"/>
            <w:gridSpan w:val="2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wyjaśnia mechanizm niedrożności dróg oddechowych u osoby nieprzytomnej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omawia zasady postępowania bezpiecznego dla ratownika</w:t>
            </w:r>
          </w:p>
          <w:p>
            <w:pPr>
              <w:pStyle w:val="TabelatekstBEZWCIECIATabela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0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wykazuje związek między utratą przytomności a zagrożeniem życia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wymienia przyczyny i objawy nagłych zasłabnięć i utraty przytomności</w:t>
            </w:r>
          </w:p>
          <w:p>
            <w:pPr>
              <w:pStyle w:val="TabelatekstBEZWCIECIATabela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wyjaśnia rolę układu nerwowego, układu krwionośnego i układu oddechowego w utrzymywaniu podstawowych funkcji życiowych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omawia zasady postępowania z osobą nieprzytomną</w:t>
            </w:r>
          </w:p>
        </w:tc>
      </w:tr>
      <w:tr>
        <w:trPr>
          <w:trHeight w:val="61" w:hRule="atLeast"/>
        </w:trPr>
        <w:tc>
          <w:tcPr>
            <w:tcW w:w="5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FEF5E1" w:val="clear"/>
          </w:tcPr>
          <w:p>
            <w:pPr>
              <w:pStyle w:val="TabelatekstCENTERTabela"/>
              <w:spacing w:lineRule="auto" w:line="240" w:before="0" w:after="85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6</w:t>
            </w:r>
          </w:p>
        </w:tc>
        <w:tc>
          <w:tcPr>
            <w:tcW w:w="2589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TabelatekstBEZWCIECIATabela"/>
              <w:spacing w:lineRule="auto" w:line="240" w:before="0" w:after="85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bCs/>
              </w:rPr>
              <w:t>Pierwsza pomoc</w:t>
              <w:br/>
              <w:t>w zaburzeniach oddychania i krążenia</w:t>
            </w:r>
          </w:p>
        </w:tc>
        <w:tc>
          <w:tcPr>
            <w:tcW w:w="227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clear" w:pos="709"/>
                <w:tab w:val="left" w:pos="176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rozpoznaje czynności  życiowe poszkodowanego lub ich brak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clear" w:pos="709"/>
                <w:tab w:val="left" w:pos="176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postępuje według poznanego schematu ratowniczego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clear" w:pos="709"/>
                <w:tab w:val="left" w:pos="176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wykonuje na manekinie uciski klatki piersiowej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clear" w:pos="709"/>
                <w:tab w:val="left" w:pos="176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wzywa odpowiednią pomoc</w:t>
            </w:r>
          </w:p>
          <w:p>
            <w:pPr>
              <w:pStyle w:val="TabelatekstCENTERTabela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259" w:type="dxa"/>
            <w:gridSpan w:val="2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wykonuje na manekinie uciski klatki piersiowej i oddech zastępczy, samodzielnie i we współpracy z drugą osobą</w:t>
            </w:r>
          </w:p>
          <w:p>
            <w:pPr>
              <w:pStyle w:val="Normal"/>
              <w:spacing w:lineRule="auto" w:line="240" w:before="0" w:after="0"/>
              <w:ind w:left="110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  <w:p>
            <w:pPr>
              <w:pStyle w:val="TabelatekstBEZWCIECIATabela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208" w:type="dxa"/>
            <w:gridSpan w:val="2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wymienia najczęstsze przyczyny zaburzeń czynności życiowych poszkodowanego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omawia uniwersalny algorytm w nagłym zatrzymaniu krążenia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wyjaśnia pojęcie „nagłe zatrzymanie krążenia”</w:t>
            </w:r>
          </w:p>
          <w:p>
            <w:pPr>
              <w:pStyle w:val="TabelatekstBEZWCIECIATabela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0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opisuje zastosowanie automatycznego defibrylatora zewnętrznego (AED)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wykazuje wpływ zastosowania AED na zwiększenie skuteczności akcji resuscytacyjnej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wymienia oznaki nagłego zatrzymania krążenia</w:t>
            </w: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uzasadnia konieczność udzielania pierwszej pomocy w przypadku zaburzeń czynności życiowych poszkodowanego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wymienia warunki i czynniki zapewniające resuscytację wysokiej jakości</w:t>
            </w:r>
          </w:p>
        </w:tc>
      </w:tr>
      <w:tr>
        <w:trPr>
          <w:trHeight w:val="61" w:hRule="atLeast"/>
        </w:trPr>
        <w:tc>
          <w:tcPr>
            <w:tcW w:w="5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FEF5E1" w:val="clear"/>
          </w:tcPr>
          <w:p>
            <w:pPr>
              <w:pStyle w:val="TabelatekstCENTERTabela"/>
              <w:spacing w:lineRule="auto" w:line="240" w:before="0" w:after="85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7</w:t>
            </w:r>
          </w:p>
        </w:tc>
        <w:tc>
          <w:tcPr>
            <w:tcW w:w="2589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TabelatekstBEZWCIECIATabela"/>
              <w:spacing w:lineRule="auto" w:line="240" w:before="0" w:after="85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bCs/>
              </w:rPr>
              <w:t>Ciała obce w organizmie</w:t>
            </w:r>
          </w:p>
        </w:tc>
        <w:tc>
          <w:tcPr>
            <w:tcW w:w="227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clear" w:pos="709"/>
                <w:tab w:val="left" w:pos="176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wykonuje na manekinie rękoczyny ratunkowe w przypadku zadławienia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val="clear" w:pos="709"/>
                <w:tab w:val="left" w:pos="176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wzywa odpowiednią pomoc</w:t>
            </w:r>
          </w:p>
          <w:p>
            <w:pPr>
              <w:pStyle w:val="TabelatekstCENTERTabela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259" w:type="dxa"/>
            <w:gridSpan w:val="2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stosuje poznany schemat ratunkowy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wymienia przykłady działań zapobiegających zadławieniu u małych dzieci</w:t>
            </w:r>
          </w:p>
          <w:p>
            <w:pPr>
              <w:pStyle w:val="TabelatekstBEZWCIECIATabela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208" w:type="dxa"/>
            <w:gridSpan w:val="2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wyjaśnia pojęcie i mechanizm zadławienia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postępuje według poznanego schematu ratunkowego</w:t>
            </w:r>
          </w:p>
        </w:tc>
        <w:tc>
          <w:tcPr>
            <w:tcW w:w="20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omawia schemat postępowania w przypadku zadławienia</w:t>
            </w:r>
          </w:p>
          <w:p>
            <w:pPr>
              <w:pStyle w:val="TabelatekstBEZWCIECIATabela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uzasadnia konieczność udzielania pierwszej pomocy w przypadku zakrztuszenia lub zadławienia</w:t>
            </w:r>
          </w:p>
          <w:p>
            <w:pPr>
              <w:pStyle w:val="TabelatekstBEZWCIECIATabela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61" w:hRule="atLeast"/>
        </w:trPr>
        <w:tc>
          <w:tcPr>
            <w:tcW w:w="5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FEF5E1" w:val="clear"/>
          </w:tcPr>
          <w:p>
            <w:pPr>
              <w:pStyle w:val="TabelatekstCENTERTabela"/>
              <w:spacing w:lineRule="auto" w:line="240" w:before="0" w:after="85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8</w:t>
            </w:r>
          </w:p>
        </w:tc>
        <w:tc>
          <w:tcPr>
            <w:tcW w:w="2589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TabelatekstBEZWCIECIATabela"/>
              <w:spacing w:lineRule="auto" w:line="240" w:before="0" w:after="85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bCs/>
              </w:rPr>
              <w:t>Pierwsza pomoc</w:t>
              <w:br/>
              <w:t>w zranieniach, skaleczeniach i ranach</w:t>
            </w:r>
          </w:p>
        </w:tc>
        <w:tc>
          <w:tcPr>
            <w:tcW w:w="227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clear" w:pos="709"/>
                <w:tab w:val="left" w:pos="176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wymienia środki stanowiące wyposażenie apteczki pierwszej pomocy</w:t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val="clear" w:pos="709"/>
                <w:tab w:val="left" w:pos="176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wyjaśnia zastosowanie poszczególnych materiałów opatrunkowych</w:t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val="clear" w:pos="709"/>
                <w:tab w:val="left" w:pos="176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wykonuje opatrunek osłaniający na ranę w obrębie kończyny</w:t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val="clear" w:pos="709"/>
                <w:tab w:val="left" w:pos="176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posługuje się chustą trójkątną podczas opatrywania ran i unieruchamiania kończyn</w:t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val="clear" w:pos="709"/>
                <w:tab w:val="left" w:pos="176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bezpiecznie zdejmuje rękawiczki ochronne</w:t>
            </w:r>
          </w:p>
          <w:p>
            <w:pPr>
              <w:pStyle w:val="TabelatekstCENTERTabela"/>
              <w:numPr>
                <w:ilvl w:val="0"/>
                <w:numId w:val="7"/>
              </w:numPr>
              <w:spacing w:lineRule="auto" w:line="240" w:before="0" w:after="0"/>
              <w:ind w:hanging="357" w:left="357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wzywa odpowiednią pomoc</w:t>
            </w:r>
          </w:p>
        </w:tc>
        <w:tc>
          <w:tcPr>
            <w:tcW w:w="2259" w:type="dxa"/>
            <w:gridSpan w:val="2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wymienia przedmioty, jakie powinny znaleźć się w apteczce domowej</w:t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opatruje rany kończyn chustą trójkątną</w:t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stosuje podstawowe zasady opatrywania ran</w:t>
            </w:r>
          </w:p>
          <w:p>
            <w:pPr>
              <w:pStyle w:val="TabelatekstBEZWCIECIATabela"/>
              <w:numPr>
                <w:ilvl w:val="0"/>
                <w:numId w:val="7"/>
              </w:numPr>
              <w:spacing w:lineRule="auto" w:line="240" w:before="0" w:after="0"/>
              <w:ind w:hanging="357" w:left="357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stosuje właściwe opatrunki w zależności od rodzaju urazu i umiejscowienia rany</w:t>
            </w:r>
          </w:p>
        </w:tc>
        <w:tc>
          <w:tcPr>
            <w:tcW w:w="2208" w:type="dxa"/>
            <w:gridSpan w:val="2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wymienia przedmioty, jakie powinny się znaleźć w apteczce przygotowanej na wyprawę turystyczną</w:t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omawia zasady pierwszej pomocy w urazach kończyn</w:t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wymienia przedmioty, jakie powinny się znaleźć w apteczce samochodowej</w:t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wykonuje opatrunek osłaniający na ranę głowy, szyi, twarzy, klatki piersiowej i jamy brzusznej</w:t>
            </w:r>
          </w:p>
          <w:p>
            <w:pPr>
              <w:pStyle w:val="TabelatekstBEZWCIECIATabela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0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wyjaśnia pojęcie rany</w:t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wskazuje zależność</w:t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między sposobem opatrzenia rany a jej gojeniem się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planuje wyposażenie apteczki dla kilkuosobowej grupy na wyprawę turystyczną w zależności od pory roku</w:t>
            </w: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uzasadnia konieczność opatrywania ran</w:t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rozpoznaje stopień zagrożenia osoby poszkodowanej i wyjaśnia zasady bezpiecznego postępowania w rejonie wypadku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</w:tr>
      <w:tr>
        <w:trPr>
          <w:trHeight w:val="896" w:hRule="atLeast"/>
        </w:trPr>
        <w:tc>
          <w:tcPr>
            <w:tcW w:w="5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FEF5E1" w:val="clear"/>
          </w:tcPr>
          <w:p>
            <w:pPr>
              <w:pStyle w:val="TabelatekstCENTERTabela"/>
              <w:spacing w:lineRule="auto" w:line="240" w:before="0" w:after="85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9</w:t>
            </w:r>
          </w:p>
        </w:tc>
        <w:tc>
          <w:tcPr>
            <w:tcW w:w="2589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TabelatekstBEZWCIECIATabela"/>
              <w:spacing w:lineRule="auto" w:line="240" w:before="0" w:after="85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bCs/>
              </w:rPr>
              <w:t>Tamowanie krwotoków</w:t>
            </w:r>
          </w:p>
        </w:tc>
        <w:tc>
          <w:tcPr>
            <w:tcW w:w="227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clear" w:pos="709"/>
                <w:tab w:val="left" w:pos="176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color w:themeColor="text1" w:val="000000"/>
                <w:sz w:val="18"/>
                <w:szCs w:val="18"/>
              </w:rPr>
            </w:pPr>
            <w:r>
              <w:rPr>
                <w:rFonts w:cs="Calibri" w:cstheme="minorHAnsi"/>
                <w:color w:themeColor="text1" w:val="000000"/>
                <w:sz w:val="18"/>
                <w:szCs w:val="18"/>
              </w:rPr>
              <w:t>wykonuje opatrunek uciskowy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9"/>
                <w:tab w:val="left" w:pos="176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color w:themeColor="text1" w:val="000000"/>
                <w:sz w:val="18"/>
                <w:szCs w:val="18"/>
              </w:rPr>
            </w:pPr>
            <w:r>
              <w:rPr>
                <w:rFonts w:cs="Calibri" w:cstheme="minorHAnsi"/>
                <w:color w:themeColor="text1" w:val="000000"/>
                <w:sz w:val="18"/>
                <w:szCs w:val="18"/>
              </w:rPr>
              <w:t>tamuje krwawienie za pomocą opatrunku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9"/>
                <w:tab w:val="left" w:pos="176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color w:themeColor="text1" w:val="000000"/>
                <w:sz w:val="18"/>
                <w:szCs w:val="18"/>
              </w:rPr>
            </w:pPr>
            <w:r>
              <w:rPr>
                <w:rFonts w:cs="Calibri" w:cstheme="minorHAnsi"/>
                <w:color w:themeColor="text1" w:val="000000"/>
                <w:sz w:val="18"/>
                <w:szCs w:val="18"/>
              </w:rPr>
              <w:t>wzywa odpowiednią pomoc</w:t>
            </w:r>
          </w:p>
          <w:p>
            <w:pPr>
              <w:pStyle w:val="TabelatekstCENTERTabela"/>
              <w:numPr>
                <w:ilvl w:val="0"/>
                <w:numId w:val="8"/>
              </w:numPr>
              <w:spacing w:lineRule="auto" w:line="240" w:before="0" w:after="0"/>
              <w:ind w:hanging="357" w:left="357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>bezpiecznie zdejmuje rękawiczki ochronne</w:t>
            </w:r>
          </w:p>
        </w:tc>
        <w:tc>
          <w:tcPr>
            <w:tcW w:w="2259" w:type="dxa"/>
            <w:gridSpan w:val="2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color w:themeColor="text1" w:val="000000"/>
                <w:sz w:val="18"/>
                <w:szCs w:val="18"/>
              </w:rPr>
            </w:pPr>
            <w:r>
              <w:rPr>
                <w:rFonts w:cs="Calibri" w:cstheme="minorHAnsi"/>
                <w:color w:themeColor="text1" w:val="000000"/>
                <w:sz w:val="18"/>
                <w:szCs w:val="18"/>
              </w:rPr>
              <w:t>wyjaśnia, jak rozpoznać krwotok zewnętrzny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color w:themeColor="text1" w:val="000000"/>
                <w:sz w:val="18"/>
                <w:szCs w:val="18"/>
              </w:rPr>
            </w:pPr>
            <w:r>
              <w:rPr>
                <w:rFonts w:cs="Calibri" w:cstheme="minorHAnsi"/>
                <w:color w:themeColor="text1" w:val="000000"/>
                <w:sz w:val="18"/>
                <w:szCs w:val="18"/>
              </w:rPr>
              <w:t>opisuje opatrunek uciskowy</w:t>
            </w:r>
          </w:p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color w:themeColor="text1" w:val="000000"/>
                <w:sz w:val="18"/>
                <w:szCs w:val="18"/>
              </w:rPr>
              <w:t>opisuje zasady pierwszej pomocy w sytuacji wystąpienia zagrożenia z użyciem broni konwencjonalnej</w:t>
            </w:r>
          </w:p>
        </w:tc>
        <w:tc>
          <w:tcPr>
            <w:tcW w:w="2208" w:type="dxa"/>
            <w:gridSpan w:val="2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color w:themeColor="text1" w:val="000000"/>
                <w:sz w:val="18"/>
                <w:szCs w:val="18"/>
              </w:rPr>
            </w:pPr>
            <w:r>
              <w:rPr>
                <w:rFonts w:cs="Calibri" w:cstheme="minorHAnsi"/>
                <w:color w:themeColor="text1" w:val="000000"/>
                <w:sz w:val="18"/>
                <w:szCs w:val="18"/>
              </w:rPr>
              <w:t>układa poszkodowanego w odpowiedniej pozycji, w zależności od umiejscowienia urazu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color w:themeColor="text1" w:val="000000"/>
                <w:sz w:val="18"/>
                <w:szCs w:val="18"/>
              </w:rPr>
            </w:pPr>
            <w:r>
              <w:rPr>
                <w:rFonts w:cs="Calibri" w:cstheme="minorHAnsi"/>
                <w:color w:themeColor="text1" w:val="000000"/>
                <w:sz w:val="18"/>
                <w:szCs w:val="18"/>
              </w:rPr>
              <w:t>tamuje krwotok przy użyciu dłoni oraz opatrunku uciskowego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themeColor="text1" w:val="000000"/>
                <w:sz w:val="18"/>
                <w:szCs w:val="18"/>
              </w:rPr>
            </w:pPr>
            <w:r>
              <w:rPr>
                <w:rFonts w:cs="Calibri" w:cstheme="minorHAnsi"/>
                <w:color w:themeColor="text1" w:val="000000"/>
                <w:sz w:val="18"/>
                <w:szCs w:val="18"/>
              </w:rPr>
            </w:r>
          </w:p>
        </w:tc>
        <w:tc>
          <w:tcPr>
            <w:tcW w:w="20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color w:themeColor="text1" w:val="000000"/>
                <w:sz w:val="18"/>
                <w:szCs w:val="18"/>
              </w:rPr>
            </w:pPr>
            <w:r>
              <w:rPr>
                <w:rFonts w:cs="Calibri" w:cstheme="minorHAnsi"/>
                <w:color w:themeColor="text1" w:val="000000"/>
                <w:sz w:val="18"/>
                <w:szCs w:val="18"/>
              </w:rPr>
              <w:t>wyjaśnia pojęcia: „rana”, „krwotok”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color w:themeColor="text1" w:val="000000"/>
                <w:sz w:val="18"/>
                <w:szCs w:val="18"/>
              </w:rPr>
            </w:pPr>
            <w:r>
              <w:rPr>
                <w:rFonts w:cs="Calibri" w:cstheme="minorHAnsi"/>
                <w:color w:themeColor="text1" w:val="000000"/>
                <w:sz w:val="18"/>
                <w:szCs w:val="18"/>
              </w:rPr>
              <w:t>wyjaśnia, dlaczego silny krwotok zagraża życiu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color w:themeColor="text1" w:val="000000"/>
                <w:sz w:val="18"/>
                <w:szCs w:val="18"/>
              </w:rPr>
            </w:pPr>
            <w:r>
              <w:rPr>
                <w:rFonts w:cs="Calibri" w:cstheme="minorHAnsi"/>
                <w:color w:themeColor="text1" w:val="000000"/>
                <w:sz w:val="18"/>
                <w:szCs w:val="18"/>
              </w:rPr>
              <w:t>wyjaśnia zagrożenie związane z silnym krwotokiem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color w:themeColor="text1" w:val="000000"/>
                <w:sz w:val="18"/>
                <w:szCs w:val="18"/>
              </w:rPr>
            </w:pPr>
            <w:r>
              <w:rPr>
                <w:rFonts w:cs="Calibri" w:cstheme="minorHAnsi"/>
                <w:color w:themeColor="text1" w:val="000000"/>
                <w:sz w:val="18"/>
                <w:szCs w:val="18"/>
              </w:rPr>
              <w:t>rozróżnia rodzaje krwotoków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themeColor="text1" w:val="000000"/>
                <w:sz w:val="18"/>
                <w:szCs w:val="18"/>
              </w:rPr>
            </w:pPr>
            <w:r>
              <w:rPr>
                <w:rFonts w:cs="Calibri" w:cstheme="minorHAnsi"/>
                <w:color w:themeColor="text1" w:val="000000"/>
                <w:sz w:val="18"/>
                <w:szCs w:val="18"/>
              </w:rPr>
            </w: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color w:themeColor="text1" w:val="000000"/>
                <w:sz w:val="18"/>
                <w:szCs w:val="18"/>
              </w:rPr>
            </w:pPr>
            <w:r>
              <w:rPr>
                <w:rFonts w:cs="Calibri" w:cstheme="minorHAnsi"/>
                <w:color w:themeColor="text1" w:val="000000"/>
                <w:sz w:val="18"/>
                <w:szCs w:val="18"/>
              </w:rPr>
              <w:t>rozpoznaje stopień zagrożenia osoby poszkodowanej i wyjaśnia zasady bezpiecznego postępowania w rejonie wypadku</w:t>
            </w:r>
          </w:p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color w:themeColor="text1" w:val="000000"/>
                <w:sz w:val="18"/>
                <w:szCs w:val="18"/>
              </w:rPr>
            </w:pPr>
            <w:r>
              <w:rPr>
                <w:rFonts w:cs="Calibri" w:cstheme="minorHAnsi"/>
                <w:color w:themeColor="text1" w:val="000000"/>
                <w:sz w:val="18"/>
                <w:szCs w:val="18"/>
              </w:rPr>
              <w:t>opisuje zasady zachowania się w sytuacji zagrożenia przy użyciu akronimu: uciekaj, schowaj się, walcz</w:t>
            </w:r>
          </w:p>
        </w:tc>
      </w:tr>
      <w:tr>
        <w:trPr>
          <w:trHeight w:val="61" w:hRule="atLeast"/>
        </w:trPr>
        <w:tc>
          <w:tcPr>
            <w:tcW w:w="5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FEF5E1" w:val="clear"/>
          </w:tcPr>
          <w:p>
            <w:pPr>
              <w:pStyle w:val="TabelatekstCENTERTabela"/>
              <w:spacing w:lineRule="auto" w:line="240" w:before="0" w:after="85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10</w:t>
            </w:r>
          </w:p>
        </w:tc>
        <w:tc>
          <w:tcPr>
            <w:tcW w:w="2589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Urazy kości i uszkodzenia stawów</w:t>
            </w:r>
          </w:p>
        </w:tc>
        <w:tc>
          <w:tcPr>
            <w:tcW w:w="227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9"/>
              </w:numPr>
              <w:tabs>
                <w:tab w:val="clear" w:pos="709"/>
                <w:tab w:val="left" w:pos="176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stosuje unieruchomienie obłożeniowe</w:t>
            </w:r>
          </w:p>
          <w:p>
            <w:pPr>
              <w:pStyle w:val="TabelatekstCENTERTabela"/>
              <w:numPr>
                <w:ilvl w:val="0"/>
                <w:numId w:val="9"/>
              </w:numPr>
              <w:spacing w:lineRule="auto" w:line="240" w:before="0" w:after="0"/>
              <w:ind w:hanging="357" w:left="357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wzywa odpowiednią pomoc</w:t>
            </w:r>
          </w:p>
        </w:tc>
        <w:tc>
          <w:tcPr>
            <w:tcW w:w="2259" w:type="dxa"/>
            <w:gridSpan w:val="2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TabelatekstBEZWCIECIATabela"/>
              <w:numPr>
                <w:ilvl w:val="0"/>
                <w:numId w:val="9"/>
              </w:numPr>
              <w:spacing w:lineRule="auto" w:line="240" w:before="0" w:after="0"/>
              <w:ind w:hanging="357" w:left="357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stosuje zasady unieruchamiania doraźnego kości i stawów</w:t>
            </w:r>
          </w:p>
        </w:tc>
        <w:tc>
          <w:tcPr>
            <w:tcW w:w="2208" w:type="dxa"/>
            <w:gridSpan w:val="2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9"/>
              </w:numPr>
              <w:spacing w:lineRule="auto" w:line="240" w:before="0" w:after="0"/>
              <w:ind w:hanging="357" w:left="357"/>
              <w:contextualSpacing/>
              <w:rPr>
                <w:rFonts w:eastAsia="Calibri"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wykorzystuje podręczne środki do unieruchomienia urazu</w:t>
            </w:r>
          </w:p>
        </w:tc>
        <w:tc>
          <w:tcPr>
            <w:tcW w:w="20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>
            <w:pPr>
              <w:pStyle w:val="ListParagraph"/>
              <w:numPr>
                <w:ilvl w:val="0"/>
                <w:numId w:val="9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wyjaśnia pojęcie „złamanie”;</w:t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wymienia przyczyny urazów kostno-stawowych</w:t>
            </w: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>
            <w:pPr>
              <w:pStyle w:val="ListParagraph"/>
              <w:numPr>
                <w:ilvl w:val="0"/>
                <w:numId w:val="9"/>
              </w:numPr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wymienia przykłady zapobiegania urazom w sporcie, w domu, w pracy</w:t>
            </w:r>
          </w:p>
        </w:tc>
      </w:tr>
      <w:tr>
        <w:trPr>
          <w:trHeight w:val="21" w:hRule="atLeast"/>
        </w:trPr>
        <w:tc>
          <w:tcPr>
            <w:tcW w:w="5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FEF5E1" w:val="clear"/>
          </w:tcPr>
          <w:p>
            <w:pPr>
              <w:pStyle w:val="TabelatekstCENTERTabela"/>
              <w:spacing w:lineRule="auto" w:line="240" w:before="0" w:after="85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11</w:t>
            </w:r>
          </w:p>
        </w:tc>
        <w:tc>
          <w:tcPr>
            <w:tcW w:w="2589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Wpływ wysokiej temperatury na organizm człowieka</w:t>
            </w:r>
          </w:p>
        </w:tc>
        <w:tc>
          <w:tcPr>
            <w:tcW w:w="227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0"/>
              </w:numPr>
              <w:tabs>
                <w:tab w:val="clear" w:pos="709"/>
                <w:tab w:val="left" w:pos="176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demonstruje metodę chłodzenia w przypadku oparzenia kończyny</w:t>
            </w:r>
          </w:p>
          <w:p>
            <w:pPr>
              <w:pStyle w:val="TabelatekstCENTERTabela"/>
              <w:numPr>
                <w:ilvl w:val="0"/>
                <w:numId w:val="10"/>
              </w:numPr>
              <w:spacing w:lineRule="auto" w:line="240" w:before="0" w:after="0"/>
              <w:ind w:hanging="357" w:left="357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wzywa odpowiednią pomoc</w:t>
            </w:r>
          </w:p>
        </w:tc>
        <w:tc>
          <w:tcPr>
            <w:tcW w:w="2259" w:type="dxa"/>
            <w:gridSpan w:val="2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0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wyjaśnia, na czym polega udzielanie pierwszej pomocy w oparzeniach</w:t>
            </w:r>
          </w:p>
          <w:p>
            <w:pPr>
              <w:pStyle w:val="TabelatekstBEZWCIECIATabela"/>
              <w:numPr>
                <w:ilvl w:val="0"/>
                <w:numId w:val="10"/>
              </w:numPr>
              <w:spacing w:lineRule="auto" w:line="240" w:before="0" w:after="0"/>
              <w:ind w:hanging="357" w:left="357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wymienia przykłady zapobiegania oparzeniom, ze szczególnym uwzględnieniem środowiska domowego i małych dzieci</w:t>
            </w:r>
          </w:p>
        </w:tc>
        <w:tc>
          <w:tcPr>
            <w:tcW w:w="2208" w:type="dxa"/>
            <w:gridSpan w:val="2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0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charakteryzuje stopnie oparzeń termicznych</w:t>
            </w:r>
          </w:p>
          <w:p>
            <w:pPr>
              <w:pStyle w:val="TabelatekstBEZWCIECIATabela"/>
              <w:numPr>
                <w:ilvl w:val="0"/>
                <w:numId w:val="10"/>
              </w:numPr>
              <w:spacing w:lineRule="auto" w:line="240" w:before="0" w:after="0"/>
              <w:ind w:hanging="357" w:left="357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omawia zasady postępowania w przypadku oparzenia termicznego</w:t>
            </w:r>
          </w:p>
        </w:tc>
        <w:tc>
          <w:tcPr>
            <w:tcW w:w="20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>
            <w:pPr>
              <w:pStyle w:val="ListParagraph"/>
              <w:numPr>
                <w:ilvl w:val="0"/>
                <w:numId w:val="10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omawia skutki działania wysokiej temperatury na organizm człowieka</w:t>
            </w:r>
          </w:p>
          <w:p>
            <w:pPr>
              <w:pStyle w:val="TabelatekstBEZWCIECIATabela"/>
              <w:numPr>
                <w:ilvl w:val="0"/>
                <w:numId w:val="10"/>
              </w:numPr>
              <w:spacing w:lineRule="auto" w:line="240" w:before="0" w:after="0"/>
              <w:ind w:hanging="357" w:left="357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wyjaśnia pojęcie „oparzenie”</w:t>
            </w: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>
            <w:pPr>
              <w:pStyle w:val="TabelatekstBEZWCIECIATabela"/>
              <w:numPr>
                <w:ilvl w:val="0"/>
                <w:numId w:val="10"/>
              </w:numPr>
              <w:spacing w:lineRule="auto" w:line="240" w:before="0" w:after="0"/>
              <w:ind w:hanging="357" w:left="357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przedstawia metody zapewnienia bezpieczeństwa własnego, osoby poszkodowanej i otoczenia w sytuacjach symulowanych podczas lekcji</w:t>
            </w:r>
          </w:p>
        </w:tc>
      </w:tr>
      <w:tr>
        <w:trPr>
          <w:trHeight w:val="61" w:hRule="atLeast"/>
        </w:trPr>
        <w:tc>
          <w:tcPr>
            <w:tcW w:w="5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FEF5E1" w:val="clear"/>
          </w:tcPr>
          <w:p>
            <w:pPr>
              <w:pStyle w:val="TabelatekstCENTERTabela"/>
              <w:spacing w:lineRule="auto" w:line="240" w:before="0" w:after="85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12</w:t>
            </w:r>
          </w:p>
        </w:tc>
        <w:tc>
          <w:tcPr>
            <w:tcW w:w="2589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TabelatekstBEZWCIECIATabela"/>
              <w:spacing w:lineRule="auto" w:line="240" w:before="0" w:after="85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bCs/>
              </w:rPr>
              <w:t>Powtórzenie i utrwalenie wiadomości</w:t>
            </w:r>
          </w:p>
        </w:tc>
        <w:tc>
          <w:tcPr>
            <w:tcW w:w="10770" w:type="dxa"/>
            <w:gridSpan w:val="7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TabelatekstBEZWCIECIATabela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wszystkie wymagania z tematów 2–11</w:t>
            </w:r>
          </w:p>
        </w:tc>
      </w:tr>
      <w:tr>
        <w:trPr>
          <w:trHeight w:val="61" w:hRule="atLeast"/>
        </w:trPr>
        <w:tc>
          <w:tcPr>
            <w:tcW w:w="5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FEF5E1" w:val="clear"/>
          </w:tcPr>
          <w:p>
            <w:pPr>
              <w:pStyle w:val="TabelatekstCENTERTabela"/>
              <w:spacing w:lineRule="auto" w:line="240" w:before="0" w:after="85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13</w:t>
            </w:r>
          </w:p>
        </w:tc>
        <w:tc>
          <w:tcPr>
            <w:tcW w:w="2589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Ostrzeganie i alarmowanie ludności o zagrożeniach</w:t>
            </w:r>
          </w:p>
        </w:tc>
        <w:tc>
          <w:tcPr>
            <w:tcW w:w="227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1"/>
              </w:numPr>
              <w:tabs>
                <w:tab w:val="clear" w:pos="709"/>
                <w:tab w:val="left" w:pos="176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color w:themeColor="text1" w:val="000000"/>
                <w:sz w:val="18"/>
                <w:szCs w:val="18"/>
              </w:rPr>
            </w:pPr>
            <w:r>
              <w:rPr>
                <w:rFonts w:cs="Calibri" w:cstheme="minorHAnsi"/>
                <w:color w:themeColor="text1" w:val="000000"/>
                <w:sz w:val="18"/>
                <w:szCs w:val="18"/>
              </w:rPr>
              <w:t>rozróżnia poszczególne sygnały alarmowe i środki alarmowe</w:t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val="clear" w:pos="709"/>
                <w:tab w:val="left" w:pos="176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color w:themeColor="text1" w:val="000000"/>
                <w:sz w:val="18"/>
                <w:szCs w:val="18"/>
              </w:rPr>
            </w:pPr>
            <w:r>
              <w:rPr>
                <w:rFonts w:cs="Calibri" w:cstheme="minorHAnsi"/>
                <w:color w:themeColor="text1" w:val="000000"/>
                <w:sz w:val="18"/>
                <w:szCs w:val="18"/>
              </w:rPr>
              <w:t>omawia zasady właściwego zachowania się w razie uruchomienia sygnałów alarmowych</w:t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val="clear" w:pos="709"/>
                <w:tab w:val="left" w:pos="176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color w:themeColor="text1" w:val="000000"/>
                <w:sz w:val="18"/>
                <w:szCs w:val="18"/>
              </w:rPr>
            </w:pPr>
            <w:r>
              <w:rPr>
                <w:rFonts w:cs="Calibri" w:cstheme="minorHAnsi"/>
                <w:color w:themeColor="text1" w:val="000000"/>
                <w:sz w:val="18"/>
                <w:szCs w:val="18"/>
              </w:rPr>
              <w:t>potrafi zachować się po ogłoszeniu alarmu w szkole</w:t>
            </w:r>
          </w:p>
        </w:tc>
        <w:tc>
          <w:tcPr>
            <w:tcW w:w="2449" w:type="dxa"/>
            <w:gridSpan w:val="3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1"/>
              </w:numPr>
              <w:tabs>
                <w:tab w:val="clear" w:pos="709"/>
                <w:tab w:val="left" w:pos="176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color w:themeColor="text1" w:val="000000"/>
                <w:sz w:val="18"/>
                <w:szCs w:val="18"/>
              </w:rPr>
            </w:pPr>
            <w:r>
              <w:rPr>
                <w:rFonts w:cs="Calibri" w:cstheme="minorHAnsi"/>
                <w:color w:themeColor="text1" w:val="000000"/>
                <w:sz w:val="18"/>
                <w:szCs w:val="18"/>
              </w:rPr>
              <w:t>omawia sposób zachowania się uczniów po usłyszeniu sygnału alarmu</w:t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val="clear" w:pos="709"/>
                <w:tab w:val="left" w:pos="176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color w:themeColor="text1" w:val="000000"/>
                <w:sz w:val="18"/>
                <w:szCs w:val="18"/>
              </w:rPr>
            </w:pPr>
            <w:r>
              <w:rPr>
                <w:rFonts w:cs="Calibri" w:cstheme="minorHAnsi"/>
                <w:color w:themeColor="text1" w:val="000000"/>
                <w:sz w:val="18"/>
                <w:szCs w:val="18"/>
              </w:rPr>
              <w:t>wskazuje drogi ewakuacji w szkole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  <w:tc>
          <w:tcPr>
            <w:tcW w:w="2018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1"/>
              </w:numPr>
              <w:tabs>
                <w:tab w:val="clear" w:pos="709"/>
                <w:tab w:val="left" w:pos="176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color w:themeColor="text1" w:val="000000"/>
                <w:sz w:val="18"/>
                <w:szCs w:val="18"/>
              </w:rPr>
            </w:pPr>
            <w:r>
              <w:rPr>
                <w:rFonts w:cs="Calibri" w:cstheme="minorHAnsi"/>
                <w:color w:themeColor="text1" w:val="000000"/>
                <w:sz w:val="18"/>
                <w:szCs w:val="18"/>
              </w:rPr>
              <w:t>omawia rodzaje alarmów</w:t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val="clear" w:pos="709"/>
                <w:tab w:val="left" w:pos="176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color w:themeColor="text1" w:val="000000"/>
                <w:sz w:val="18"/>
                <w:szCs w:val="18"/>
              </w:rPr>
            </w:pPr>
            <w:r>
              <w:rPr>
                <w:rFonts w:cs="Calibri" w:cstheme="minorHAnsi"/>
                <w:color w:themeColor="text1" w:val="000000"/>
                <w:sz w:val="18"/>
                <w:szCs w:val="18"/>
              </w:rPr>
              <w:t>wymienia zasady ostrzegania ludności o zagrożeniach</w:t>
            </w:r>
          </w:p>
          <w:p>
            <w:pPr>
              <w:pStyle w:val="TabelatekstBEZWCIECIATabela"/>
              <w:numPr>
                <w:ilvl w:val="0"/>
                <w:numId w:val="11"/>
              </w:numPr>
              <w:spacing w:lineRule="auto" w:line="240" w:before="0" w:after="0"/>
              <w:ind w:hanging="357" w:left="357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>wyjaśnia zasady zachowania się ludności po usłyszeniu sygnału alarmowego</w:t>
            </w:r>
          </w:p>
        </w:tc>
        <w:tc>
          <w:tcPr>
            <w:tcW w:w="20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>
            <w:pPr>
              <w:pStyle w:val="ListParagraph"/>
              <w:numPr>
                <w:ilvl w:val="0"/>
                <w:numId w:val="11"/>
              </w:numPr>
              <w:tabs>
                <w:tab w:val="clear" w:pos="709"/>
                <w:tab w:val="left" w:pos="176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color w:themeColor="text1" w:val="000000"/>
                <w:sz w:val="18"/>
                <w:szCs w:val="18"/>
              </w:rPr>
            </w:pPr>
            <w:r>
              <w:rPr>
                <w:rFonts w:cs="Calibri" w:cstheme="minorHAnsi"/>
                <w:color w:themeColor="text1" w:val="000000"/>
                <w:sz w:val="18"/>
                <w:szCs w:val="18"/>
              </w:rPr>
              <w:t>omawia rolę różnych służb i innych podmiotów</w:t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val="clear" w:pos="709"/>
                <w:tab w:val="left" w:pos="176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color w:themeColor="text1" w:val="000000"/>
                <w:sz w:val="18"/>
                <w:szCs w:val="18"/>
              </w:rPr>
            </w:pPr>
            <w:r>
              <w:rPr>
                <w:rFonts w:cs="Calibri" w:cstheme="minorHAnsi"/>
                <w:color w:themeColor="text1" w:val="000000"/>
                <w:sz w:val="18"/>
                <w:szCs w:val="18"/>
              </w:rPr>
              <w:t>uzasadnia znaczenie bezwzględnego stosowania się do zaleceń służb i innych podmiotów</w:t>
            </w:r>
          </w:p>
          <w:p>
            <w:pPr>
              <w:pStyle w:val="TabelatekstBEZWCIECIATabela"/>
              <w:numPr>
                <w:ilvl w:val="0"/>
                <w:numId w:val="11"/>
              </w:numPr>
              <w:spacing w:lineRule="auto" w:line="240" w:before="0" w:after="0"/>
              <w:ind w:hanging="357" w:left="357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>omawia rodzaje alarmów</w:t>
            </w: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>
            <w:pPr>
              <w:pStyle w:val="ListParagraph"/>
              <w:numPr>
                <w:ilvl w:val="0"/>
                <w:numId w:val="11"/>
              </w:numPr>
              <w:tabs>
                <w:tab w:val="clear" w:pos="709"/>
                <w:tab w:val="left" w:pos="176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color w:themeColor="text1" w:val="000000"/>
                <w:sz w:val="18"/>
                <w:szCs w:val="18"/>
              </w:rPr>
            </w:pPr>
            <w:r>
              <w:rPr>
                <w:rFonts w:cs="Calibri" w:cstheme="minorHAnsi"/>
                <w:color w:themeColor="text1" w:val="000000"/>
                <w:sz w:val="18"/>
                <w:szCs w:val="18"/>
              </w:rPr>
              <w:t>uzasadnia znaczenie bezwzględnego stosowania się do zaleceń służb i innych podmiotów</w:t>
            </w:r>
          </w:p>
          <w:p>
            <w:pPr>
              <w:pStyle w:val="TabelatekstBEZWCIECIATabela"/>
              <w:numPr>
                <w:ilvl w:val="0"/>
                <w:numId w:val="11"/>
              </w:numPr>
              <w:spacing w:lineRule="auto" w:line="240" w:before="0" w:after="0"/>
              <w:ind w:hanging="357" w:left="357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>uzasadnia przydatność znajomości sygnałów alarmowych</w:t>
            </w:r>
          </w:p>
        </w:tc>
      </w:tr>
      <w:tr>
        <w:trPr>
          <w:trHeight w:val="61" w:hRule="atLeast"/>
        </w:trPr>
        <w:tc>
          <w:tcPr>
            <w:tcW w:w="5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FEF5E1" w:val="clear"/>
          </w:tcPr>
          <w:p>
            <w:pPr>
              <w:pStyle w:val="TabelatekstCENTERTabela"/>
              <w:spacing w:lineRule="auto" w:line="240" w:before="0" w:after="85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14</w:t>
            </w:r>
          </w:p>
        </w:tc>
        <w:tc>
          <w:tcPr>
            <w:tcW w:w="2589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TabelatekstBEZWCIECIATabela"/>
              <w:spacing w:lineRule="auto" w:line="240" w:before="0" w:after="85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bCs/>
              </w:rPr>
              <w:t>Zagrożenia pożarowe i ewakuacja</w:t>
            </w:r>
          </w:p>
        </w:tc>
        <w:tc>
          <w:tcPr>
            <w:tcW w:w="227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2"/>
              </w:numPr>
              <w:tabs>
                <w:tab w:val="clear" w:pos="709"/>
                <w:tab w:val="left" w:pos="176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color w:themeColor="text1" w:val="000000"/>
                <w:sz w:val="18"/>
                <w:szCs w:val="18"/>
              </w:rPr>
            </w:pPr>
            <w:r>
              <w:rPr>
                <w:rFonts w:cs="Calibri" w:cstheme="minorHAnsi"/>
                <w:color w:themeColor="text1" w:val="000000"/>
                <w:sz w:val="18"/>
                <w:szCs w:val="18"/>
              </w:rPr>
              <w:t>charakteryzuje zagrożenia pożarowe w domu, szkole i najbliższej okolicy</w:t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val="clear" w:pos="709"/>
                <w:tab w:val="left" w:pos="176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color w:themeColor="text1" w:val="000000"/>
                <w:sz w:val="18"/>
                <w:szCs w:val="18"/>
              </w:rPr>
            </w:pPr>
            <w:r>
              <w:rPr>
                <w:rFonts w:cs="Calibri" w:cstheme="minorHAnsi"/>
                <w:color w:themeColor="text1" w:val="000000"/>
                <w:sz w:val="18"/>
                <w:szCs w:val="18"/>
              </w:rPr>
              <w:t>rozpoznaje i prawidłowo zareaguje na sygnał alarmu o pożarze w szkole</w:t>
            </w:r>
          </w:p>
        </w:tc>
        <w:tc>
          <w:tcPr>
            <w:tcW w:w="2449" w:type="dxa"/>
            <w:gridSpan w:val="3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2"/>
              </w:numPr>
              <w:tabs>
                <w:tab w:val="clear" w:pos="709"/>
                <w:tab w:val="left" w:pos="176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color w:themeColor="text1" w:val="000000"/>
                <w:sz w:val="18"/>
                <w:szCs w:val="18"/>
              </w:rPr>
            </w:pPr>
            <w:r>
              <w:rPr>
                <w:rFonts w:cs="Calibri" w:cstheme="minorHAnsi"/>
                <w:color w:themeColor="text1" w:val="000000"/>
                <w:sz w:val="18"/>
                <w:szCs w:val="18"/>
              </w:rPr>
              <w:t>omawia zasady zachowania się podczas pożarów</w:t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val="clear" w:pos="709"/>
                <w:tab w:val="left" w:pos="176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color w:themeColor="text1" w:val="000000"/>
                <w:sz w:val="18"/>
                <w:szCs w:val="18"/>
              </w:rPr>
            </w:pPr>
            <w:r>
              <w:rPr>
                <w:rFonts w:cs="Calibri" w:cstheme="minorHAnsi"/>
                <w:color w:themeColor="text1" w:val="000000"/>
                <w:sz w:val="18"/>
                <w:szCs w:val="18"/>
              </w:rPr>
              <w:t>omawia rolę różnych służb i innych podmiotów w sytuacji zagrożeń cywilizacyjnych</w:t>
            </w:r>
          </w:p>
          <w:p>
            <w:pPr>
              <w:pStyle w:val="TabelatekstBEZWCIECIATabela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018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2"/>
              </w:numPr>
              <w:tabs>
                <w:tab w:val="clear" w:pos="709"/>
                <w:tab w:val="left" w:pos="176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color w:themeColor="text1" w:val="000000"/>
                <w:sz w:val="18"/>
                <w:szCs w:val="18"/>
              </w:rPr>
            </w:pPr>
            <w:r>
              <w:rPr>
                <w:rFonts w:cs="Calibri" w:cstheme="minorHAnsi"/>
                <w:color w:themeColor="text1" w:val="000000"/>
                <w:sz w:val="18"/>
                <w:szCs w:val="18"/>
              </w:rPr>
              <w:t>wskazuje w szkole miejsca szczególnie zagrożone wystąpieniem pożaru i uzasadnia swój wybór</w:t>
            </w:r>
          </w:p>
          <w:p>
            <w:pPr>
              <w:pStyle w:val="TabelatekstBEZWCIECIATabela"/>
              <w:numPr>
                <w:ilvl w:val="0"/>
                <w:numId w:val="12"/>
              </w:numPr>
              <w:spacing w:lineRule="auto" w:line="240" w:before="0" w:after="0"/>
              <w:ind w:hanging="357" w:left="357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>przedstawia obowiązki ludności w sytuacjach wymagających ewakuacji</w:t>
            </w:r>
          </w:p>
        </w:tc>
        <w:tc>
          <w:tcPr>
            <w:tcW w:w="20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>
            <w:pPr>
              <w:pStyle w:val="ListParagraph"/>
              <w:numPr>
                <w:ilvl w:val="0"/>
                <w:numId w:val="12"/>
              </w:numPr>
              <w:tabs>
                <w:tab w:val="clear" w:pos="709"/>
                <w:tab w:val="left" w:pos="176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color w:themeColor="text1" w:val="000000"/>
                <w:sz w:val="18"/>
                <w:szCs w:val="18"/>
              </w:rPr>
            </w:pPr>
            <w:r>
              <w:rPr>
                <w:rFonts w:cs="Calibri" w:cstheme="minorHAnsi"/>
                <w:color w:themeColor="text1" w:val="000000"/>
                <w:sz w:val="18"/>
                <w:szCs w:val="18"/>
              </w:rPr>
              <w:t>wyjaśnia najczęstsze przyczyny powstawania pożarów</w:t>
            </w:r>
          </w:p>
          <w:p>
            <w:pPr>
              <w:pStyle w:val="TabelatekstBEZWCIECIATabela"/>
              <w:numPr>
                <w:ilvl w:val="0"/>
                <w:numId w:val="12"/>
              </w:numPr>
              <w:spacing w:lineRule="auto" w:line="240" w:before="0" w:after="0"/>
              <w:ind w:hanging="357" w:left="357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>uzasadnia znaczenie bezwzględnego stosowania się do zaleceń służb ratunkowych</w:t>
            </w: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>
            <w:pPr>
              <w:pStyle w:val="ListParagraph"/>
              <w:numPr>
                <w:ilvl w:val="0"/>
                <w:numId w:val="12"/>
              </w:numPr>
              <w:tabs>
                <w:tab w:val="clear" w:pos="709"/>
                <w:tab w:val="left" w:pos="176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color w:themeColor="text1" w:val="000000"/>
                <w:sz w:val="18"/>
                <w:szCs w:val="18"/>
              </w:rPr>
            </w:pPr>
            <w:r>
              <w:rPr>
                <w:rFonts w:cs="Calibri" w:cstheme="minorHAnsi"/>
                <w:color w:themeColor="text1" w:val="000000"/>
                <w:sz w:val="18"/>
                <w:szCs w:val="18"/>
              </w:rPr>
              <w:t>uzasadnia potrzebę przeciwdziałania panice</w:t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val="clear" w:pos="709"/>
                <w:tab w:val="left" w:pos="176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color w:themeColor="text1" w:val="000000"/>
                <w:sz w:val="18"/>
                <w:szCs w:val="18"/>
              </w:rPr>
            </w:pPr>
            <w:r>
              <w:rPr>
                <w:rFonts w:cs="Calibri" w:cstheme="minorHAnsi"/>
                <w:color w:themeColor="text1" w:val="000000"/>
                <w:sz w:val="18"/>
                <w:szCs w:val="18"/>
              </w:rPr>
              <w:t>planuje postępowanie uczniów po usłyszeniu sygnału o pożarze</w:t>
            </w:r>
          </w:p>
          <w:p>
            <w:pPr>
              <w:pStyle w:val="TabelatekstBEZWCIECIATabela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cstheme="minorHAnsi" w:ascii="Calibri" w:hAnsi="Calibri"/>
                <w:bCs/>
              </w:rPr>
            </w:r>
          </w:p>
        </w:tc>
      </w:tr>
      <w:tr>
        <w:trPr>
          <w:trHeight w:val="61" w:hRule="atLeast"/>
        </w:trPr>
        <w:tc>
          <w:tcPr>
            <w:tcW w:w="5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FEF5E1" w:val="clear"/>
          </w:tcPr>
          <w:p>
            <w:pPr>
              <w:pStyle w:val="TabelatekstCENTERTabela"/>
              <w:spacing w:lineRule="auto" w:line="240" w:before="0" w:after="85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15</w:t>
            </w:r>
          </w:p>
        </w:tc>
        <w:tc>
          <w:tcPr>
            <w:tcW w:w="2589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Zagrożenia powodziowe</w:t>
            </w:r>
          </w:p>
        </w:tc>
        <w:tc>
          <w:tcPr>
            <w:tcW w:w="227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3"/>
              </w:numPr>
              <w:tabs>
                <w:tab w:val="clear" w:pos="709"/>
                <w:tab w:val="left" w:pos="176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wymienia przykłady zagrożeń związanych z wystąpieniem powodzi</w:t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val="clear" w:pos="709"/>
                <w:tab w:val="left" w:pos="176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podaje zasady postępowania w razie zagrożenia powodzią</w:t>
            </w:r>
          </w:p>
        </w:tc>
        <w:tc>
          <w:tcPr>
            <w:tcW w:w="2449" w:type="dxa"/>
            <w:gridSpan w:val="3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TabelatekstBEZWCIECIATabela"/>
              <w:numPr>
                <w:ilvl w:val="0"/>
                <w:numId w:val="13"/>
              </w:numPr>
              <w:spacing w:lineRule="auto" w:line="240" w:before="0" w:after="0"/>
              <w:ind w:hanging="357" w:left="357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omawia znaczenie kolorów stosowanych w ratownictwie powodziowym</w:t>
            </w:r>
          </w:p>
        </w:tc>
        <w:tc>
          <w:tcPr>
            <w:tcW w:w="2018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3"/>
              </w:numPr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omawia rolę różnych służb i innych podmiotów w sytuacji wystąpienia powodzi</w:t>
            </w:r>
          </w:p>
        </w:tc>
        <w:tc>
          <w:tcPr>
            <w:tcW w:w="20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>
            <w:pPr>
              <w:pStyle w:val="ListParagraph"/>
              <w:numPr>
                <w:ilvl w:val="0"/>
                <w:numId w:val="13"/>
              </w:numPr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uzasadnia znaczenie bezwzględnego stosowania się do zaleceń służb ratowniczych</w:t>
            </w: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>
            <w:pPr>
              <w:pStyle w:val="ListParagraph"/>
              <w:numPr>
                <w:ilvl w:val="0"/>
                <w:numId w:val="13"/>
              </w:numPr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wyjaśnia, dlaczego na terenach powodziowych należy przeciwdziałać panice</w:t>
            </w:r>
          </w:p>
        </w:tc>
      </w:tr>
      <w:tr>
        <w:trPr>
          <w:trHeight w:val="61" w:hRule="atLeast"/>
        </w:trPr>
        <w:tc>
          <w:tcPr>
            <w:tcW w:w="5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FEF5E1" w:val="clear"/>
          </w:tcPr>
          <w:p>
            <w:pPr>
              <w:pStyle w:val="TabelatekstCENTERTabela"/>
              <w:spacing w:lineRule="auto" w:line="240" w:before="0" w:after="85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16</w:t>
            </w:r>
          </w:p>
        </w:tc>
        <w:tc>
          <w:tcPr>
            <w:tcW w:w="2589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Zagrożenia związane z działalnością człowieka</w:t>
            </w:r>
          </w:p>
        </w:tc>
        <w:tc>
          <w:tcPr>
            <w:tcW w:w="227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4"/>
              </w:numPr>
              <w:tabs>
                <w:tab w:val="clear" w:pos="709"/>
                <w:tab w:val="left" w:pos="176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color w:themeColor="text1" w:val="000000"/>
                <w:sz w:val="18"/>
                <w:szCs w:val="18"/>
              </w:rPr>
            </w:pPr>
            <w:r>
              <w:rPr>
                <w:rFonts w:cs="Calibri" w:cstheme="minorHAnsi"/>
                <w:color w:themeColor="text1" w:val="000000"/>
                <w:sz w:val="18"/>
                <w:szCs w:val="18"/>
              </w:rPr>
              <w:t>wymienia przykłady nadzwyczajnych zagrożeń wywołanych przez człowieka</w:t>
            </w:r>
          </w:p>
          <w:p>
            <w:pPr>
              <w:pStyle w:val="ListParagraph"/>
              <w:numPr>
                <w:ilvl w:val="0"/>
                <w:numId w:val="14"/>
              </w:numPr>
              <w:tabs>
                <w:tab w:val="clear" w:pos="709"/>
                <w:tab w:val="left" w:pos="176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color w:themeColor="text1" w:val="000000"/>
                <w:sz w:val="18"/>
                <w:szCs w:val="18"/>
              </w:rPr>
            </w:pPr>
            <w:r>
              <w:rPr>
                <w:rFonts w:cs="Calibri" w:cstheme="minorHAnsi"/>
                <w:color w:themeColor="text1" w:val="000000"/>
                <w:sz w:val="18"/>
                <w:szCs w:val="18"/>
              </w:rPr>
              <w:t>opisuje pożądane zachowania ludności w sytuacji zagrożeń chemicznych</w:t>
            </w:r>
          </w:p>
          <w:p>
            <w:pPr>
              <w:pStyle w:val="ListParagraph"/>
              <w:numPr>
                <w:ilvl w:val="0"/>
                <w:numId w:val="14"/>
              </w:numPr>
              <w:tabs>
                <w:tab w:val="clear" w:pos="709"/>
                <w:tab w:val="left" w:pos="176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color w:themeColor="text1" w:val="000000"/>
                <w:sz w:val="18"/>
                <w:szCs w:val="18"/>
              </w:rPr>
            </w:pPr>
            <w:r>
              <w:rPr>
                <w:rFonts w:cs="Calibri" w:cstheme="minorHAnsi"/>
                <w:color w:themeColor="text1" w:val="000000"/>
                <w:sz w:val="18"/>
                <w:szCs w:val="18"/>
              </w:rPr>
              <w:t>wymienia przykłady zagrożeń środowiskowych</w:t>
            </w:r>
          </w:p>
          <w:p>
            <w:pPr>
              <w:pStyle w:val="TabelatekstCENTERTabela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449" w:type="dxa"/>
            <w:gridSpan w:val="3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4"/>
              </w:numPr>
              <w:tabs>
                <w:tab w:val="clear" w:pos="709"/>
                <w:tab w:val="left" w:pos="176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color w:themeColor="text1" w:val="000000"/>
                <w:sz w:val="18"/>
                <w:szCs w:val="18"/>
              </w:rPr>
            </w:pPr>
            <w:r>
              <w:rPr>
                <w:rFonts w:cs="Calibri" w:cstheme="minorHAnsi"/>
                <w:color w:themeColor="text1" w:val="000000"/>
                <w:sz w:val="18"/>
                <w:szCs w:val="18"/>
              </w:rPr>
              <w:t>uzasadnia znaczenie bezwzględnego stosowania się do zaleceń służb ratunkowych</w:t>
            </w:r>
          </w:p>
          <w:p>
            <w:pPr>
              <w:pStyle w:val="ListParagraph"/>
              <w:numPr>
                <w:ilvl w:val="0"/>
                <w:numId w:val="14"/>
              </w:numPr>
              <w:tabs>
                <w:tab w:val="clear" w:pos="709"/>
                <w:tab w:val="left" w:pos="176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color w:themeColor="text1" w:val="000000"/>
                <w:sz w:val="18"/>
                <w:szCs w:val="18"/>
              </w:rPr>
            </w:pPr>
            <w:r>
              <w:rPr>
                <w:rFonts w:cs="Calibri" w:cstheme="minorHAnsi"/>
                <w:color w:themeColor="text1" w:val="000000"/>
                <w:sz w:val="18"/>
                <w:szCs w:val="18"/>
              </w:rPr>
              <w:t>omawia zasady postępowania w razie intensywnej śnieżycy</w:t>
            </w:r>
          </w:p>
          <w:p>
            <w:pPr>
              <w:pStyle w:val="TabelatekstBEZWCIECIATabela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018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4"/>
              </w:numPr>
              <w:tabs>
                <w:tab w:val="clear" w:pos="709"/>
                <w:tab w:val="left" w:pos="176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color w:themeColor="text1" w:val="000000"/>
                <w:sz w:val="18"/>
                <w:szCs w:val="18"/>
              </w:rPr>
            </w:pPr>
            <w:r>
              <w:rPr>
                <w:rFonts w:cs="Calibri" w:cstheme="minorHAnsi"/>
                <w:color w:themeColor="text1" w:val="000000"/>
                <w:sz w:val="18"/>
                <w:szCs w:val="18"/>
              </w:rPr>
              <w:t>omawia zasady zachowania się podczas wypadków i katastrof komunikacyjnych, technicznych i innych</w:t>
            </w:r>
          </w:p>
          <w:p>
            <w:pPr>
              <w:pStyle w:val="TabelatekstBEZWCIECIATabela"/>
              <w:numPr>
                <w:ilvl w:val="0"/>
                <w:numId w:val="14"/>
              </w:numPr>
              <w:spacing w:lineRule="auto" w:line="240" w:before="0" w:after="0"/>
              <w:ind w:hanging="357" w:left="357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>przedstawia obowiązki ludności w sytuacjach wymagających ewakuacji</w:t>
            </w:r>
          </w:p>
        </w:tc>
        <w:tc>
          <w:tcPr>
            <w:tcW w:w="20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>
            <w:pPr>
              <w:pStyle w:val="ListParagraph"/>
              <w:numPr>
                <w:ilvl w:val="0"/>
                <w:numId w:val="14"/>
              </w:numPr>
              <w:tabs>
                <w:tab w:val="clear" w:pos="709"/>
                <w:tab w:val="left" w:pos="176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color w:themeColor="text1" w:val="000000"/>
                <w:sz w:val="18"/>
                <w:szCs w:val="18"/>
              </w:rPr>
            </w:pPr>
            <w:r>
              <w:rPr>
                <w:rFonts w:cs="Calibri" w:cstheme="minorHAnsi"/>
                <w:color w:themeColor="text1" w:val="000000"/>
                <w:sz w:val="18"/>
                <w:szCs w:val="18"/>
              </w:rPr>
              <w:t>opisuje rodzaje zagrożeń związanych z działalnością człowieka</w:t>
            </w:r>
          </w:p>
          <w:p>
            <w:pPr>
              <w:pStyle w:val="ListParagraph"/>
              <w:numPr>
                <w:ilvl w:val="0"/>
                <w:numId w:val="14"/>
              </w:numPr>
              <w:tabs>
                <w:tab w:val="clear" w:pos="709"/>
                <w:tab w:val="left" w:pos="176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color w:themeColor="text1" w:val="000000"/>
                <w:sz w:val="18"/>
                <w:szCs w:val="18"/>
              </w:rPr>
            </w:pPr>
            <w:r>
              <w:rPr>
                <w:rFonts w:cs="Calibri" w:cstheme="minorHAnsi"/>
                <w:color w:themeColor="text1" w:val="000000"/>
                <w:sz w:val="18"/>
                <w:szCs w:val="18"/>
              </w:rPr>
              <w:t>omawia rolę różnych służb i innych podmiotów w sytuacji zagrożeń cywilizacyjnych</w:t>
            </w:r>
          </w:p>
          <w:p>
            <w:pPr>
              <w:pStyle w:val="TabelatekstBEZWCIECIATabela"/>
              <w:numPr>
                <w:ilvl w:val="0"/>
                <w:numId w:val="14"/>
              </w:numPr>
              <w:spacing w:lineRule="auto" w:line="240" w:before="0" w:after="0"/>
              <w:ind w:hanging="357" w:left="357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>omawia rolę różnych służb i innych podmiotów w organizacji ewakuacji</w:t>
            </w: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>
            <w:pPr>
              <w:pStyle w:val="ListParagraph"/>
              <w:numPr>
                <w:ilvl w:val="0"/>
                <w:numId w:val="14"/>
              </w:numPr>
              <w:tabs>
                <w:tab w:val="clear" w:pos="709"/>
                <w:tab w:val="left" w:pos="176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color w:themeColor="text1" w:val="000000"/>
                <w:sz w:val="18"/>
                <w:szCs w:val="18"/>
              </w:rPr>
            </w:pPr>
            <w:r>
              <w:rPr>
                <w:rFonts w:cs="Calibri" w:cstheme="minorHAnsi"/>
                <w:color w:themeColor="text1" w:val="000000"/>
                <w:sz w:val="18"/>
                <w:szCs w:val="18"/>
              </w:rPr>
              <w:t>uzasadnia potrzebę przeciwdziałania panice</w:t>
            </w:r>
          </w:p>
          <w:p>
            <w:pPr>
              <w:pStyle w:val="ListParagraph"/>
              <w:numPr>
                <w:ilvl w:val="0"/>
                <w:numId w:val="14"/>
              </w:numPr>
              <w:tabs>
                <w:tab w:val="clear" w:pos="709"/>
                <w:tab w:val="left" w:pos="176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color w:themeColor="text1" w:val="000000"/>
                <w:sz w:val="18"/>
                <w:szCs w:val="18"/>
              </w:rPr>
            </w:pPr>
            <w:r>
              <w:rPr>
                <w:rFonts w:cs="Calibri" w:cstheme="minorHAnsi"/>
                <w:color w:themeColor="text1" w:val="000000"/>
                <w:sz w:val="18"/>
                <w:szCs w:val="18"/>
              </w:rPr>
              <w:t>uzasadnia znaczenie bezwzględnego stosowania się do zaleceń różnych służb i innych podmiotów</w:t>
            </w:r>
          </w:p>
          <w:p>
            <w:pPr>
              <w:pStyle w:val="TabelatekstBEZWCIECIATabela"/>
              <w:numPr>
                <w:ilvl w:val="0"/>
                <w:numId w:val="14"/>
              </w:numPr>
              <w:spacing w:lineRule="auto" w:line="240" w:before="0" w:after="0"/>
              <w:ind w:hanging="357" w:left="357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>uzasadnia znaczenie bezwzględnego stosowania się do zaleceń służb organizujących ewakuację</w:t>
            </w:r>
          </w:p>
        </w:tc>
      </w:tr>
      <w:tr>
        <w:trPr>
          <w:trHeight w:val="61" w:hRule="atLeast"/>
        </w:trPr>
        <w:tc>
          <w:tcPr>
            <w:tcW w:w="5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FEF5E1" w:val="clear"/>
          </w:tcPr>
          <w:p>
            <w:pPr>
              <w:pStyle w:val="TabelatekstCENTERTabela"/>
              <w:spacing w:lineRule="auto" w:line="240" w:before="0" w:after="85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17</w:t>
            </w:r>
          </w:p>
        </w:tc>
        <w:tc>
          <w:tcPr>
            <w:tcW w:w="2589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TabelatekstBEZWCIECIATabela"/>
              <w:spacing w:lineRule="auto" w:line="240" w:before="0" w:after="85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bCs/>
              </w:rPr>
              <w:t>Powtórzenie i utrwalenie wiadomości</w:t>
            </w:r>
          </w:p>
        </w:tc>
        <w:tc>
          <w:tcPr>
            <w:tcW w:w="10770" w:type="dxa"/>
            <w:gridSpan w:val="7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TabelatekstBEZWCIECIATabela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>wszystkie wymagania z tematów 13–16</w:t>
            </w:r>
          </w:p>
        </w:tc>
      </w:tr>
      <w:tr>
        <w:trPr>
          <w:trHeight w:val="61" w:hRule="atLeast"/>
        </w:trPr>
        <w:tc>
          <w:tcPr>
            <w:tcW w:w="5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FEF5E1" w:val="clear"/>
          </w:tcPr>
          <w:p>
            <w:pPr>
              <w:pStyle w:val="TabelatekstCENTERTabela"/>
              <w:spacing w:lineRule="auto" w:line="240" w:before="0" w:after="85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18</w:t>
            </w:r>
          </w:p>
        </w:tc>
        <w:tc>
          <w:tcPr>
            <w:tcW w:w="2589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TabelatekstBEZWCIECIATabela"/>
              <w:spacing w:lineRule="auto" w:line="240" w:before="0" w:after="85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bCs/>
              </w:rPr>
              <w:t>Bezpieczne państwo</w:t>
            </w:r>
          </w:p>
        </w:tc>
        <w:tc>
          <w:tcPr>
            <w:tcW w:w="227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TabelatekstCENTERTabela"/>
              <w:numPr>
                <w:ilvl w:val="0"/>
                <w:numId w:val="15"/>
              </w:numPr>
              <w:spacing w:lineRule="auto" w:line="240" w:before="0" w:after="0"/>
              <w:ind w:hanging="357" w:left="357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>wymienia składniki bezpieczeństwa państwa</w:t>
            </w:r>
          </w:p>
        </w:tc>
        <w:tc>
          <w:tcPr>
            <w:tcW w:w="2449" w:type="dxa"/>
            <w:gridSpan w:val="3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TabelatekstBEZWCIECIATabela"/>
              <w:numPr>
                <w:ilvl w:val="0"/>
                <w:numId w:val="15"/>
              </w:numPr>
              <w:spacing w:lineRule="auto" w:line="240" w:before="0" w:after="0"/>
              <w:ind w:hanging="357" w:left="357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>wyjaśnia, co rozumie przez pojęcie „bezpieczne państwo”</w:t>
            </w:r>
          </w:p>
        </w:tc>
        <w:tc>
          <w:tcPr>
            <w:tcW w:w="2018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TabelatekstBEZWCIECIATabela"/>
              <w:numPr>
                <w:ilvl w:val="0"/>
                <w:numId w:val="15"/>
              </w:numPr>
              <w:spacing w:lineRule="auto" w:line="240" w:before="0" w:after="0"/>
              <w:ind w:hanging="357" w:left="357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>wymienia i charakteryzuje podstawowe pojęcia związane z bezpieczeństwem państwa</w:t>
            </w:r>
          </w:p>
        </w:tc>
        <w:tc>
          <w:tcPr>
            <w:tcW w:w="20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>
            <w:pPr>
              <w:pStyle w:val="TabelatekstBEZWCIECIATabela"/>
              <w:numPr>
                <w:ilvl w:val="0"/>
                <w:numId w:val="15"/>
              </w:numPr>
              <w:spacing w:lineRule="auto" w:line="240" w:before="0" w:after="0"/>
              <w:ind w:hanging="357" w:left="357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>określa istotę problemu bezpieczeństwa</w:t>
            </w: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>
            <w:pPr>
              <w:pStyle w:val="TabelatekstBEZWCIECIATabela"/>
              <w:numPr>
                <w:ilvl w:val="0"/>
                <w:numId w:val="15"/>
              </w:numPr>
              <w:spacing w:lineRule="auto" w:line="240" w:before="0" w:after="0"/>
              <w:ind w:hanging="357" w:left="357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>podejmuje dyskusję na temat bezpieczeństwa państwa</w:t>
            </w:r>
          </w:p>
        </w:tc>
      </w:tr>
      <w:tr>
        <w:trPr>
          <w:trHeight w:val="61" w:hRule="atLeast"/>
        </w:trPr>
        <w:tc>
          <w:tcPr>
            <w:tcW w:w="5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FEF5E1" w:val="clear"/>
          </w:tcPr>
          <w:p>
            <w:pPr>
              <w:pStyle w:val="TabelatekstCENTERTabela"/>
              <w:spacing w:lineRule="auto" w:line="240" w:before="0" w:after="85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19</w:t>
            </w:r>
          </w:p>
        </w:tc>
        <w:tc>
          <w:tcPr>
            <w:tcW w:w="2589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Polska a bezpieczeństwo międzynarodowe</w:t>
            </w:r>
          </w:p>
        </w:tc>
        <w:tc>
          <w:tcPr>
            <w:tcW w:w="227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TabelatekstCENTERTabela"/>
              <w:numPr>
                <w:ilvl w:val="0"/>
                <w:numId w:val="16"/>
              </w:numPr>
              <w:spacing w:lineRule="auto" w:line="240" w:before="0" w:after="0"/>
              <w:ind w:hanging="357" w:left="357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>orientuje się w geopolitycznych uwarunkowaniach bezpieczeństwa, wynikających z położenia Polski</w:t>
            </w:r>
          </w:p>
        </w:tc>
        <w:tc>
          <w:tcPr>
            <w:tcW w:w="2449" w:type="dxa"/>
            <w:gridSpan w:val="3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6"/>
              </w:numPr>
              <w:tabs>
                <w:tab w:val="clear" w:pos="709"/>
                <w:tab w:val="left" w:pos="176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color w:themeColor="text1" w:val="000000"/>
                <w:sz w:val="18"/>
                <w:szCs w:val="18"/>
              </w:rPr>
            </w:pPr>
            <w:r>
              <w:rPr>
                <w:rFonts w:cs="Calibri" w:cstheme="minorHAnsi"/>
                <w:color w:themeColor="text1" w:val="000000"/>
                <w:sz w:val="18"/>
                <w:szCs w:val="18"/>
              </w:rPr>
              <w:t>wymienia czynniki mające wpływ na bezpieczeństwo Polski</w:t>
            </w:r>
          </w:p>
          <w:p>
            <w:pPr>
              <w:pStyle w:val="TabelatekstBEZWCIECIATabela"/>
              <w:numPr>
                <w:ilvl w:val="0"/>
                <w:numId w:val="16"/>
              </w:numPr>
              <w:spacing w:lineRule="auto" w:line="240" w:before="0" w:after="0"/>
              <w:ind w:hanging="357" w:left="357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>omawia misję Sił Zbrojnych w systemie obronności państwa</w:t>
            </w:r>
          </w:p>
        </w:tc>
        <w:tc>
          <w:tcPr>
            <w:tcW w:w="2018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6"/>
              </w:numPr>
              <w:tabs>
                <w:tab w:val="clear" w:pos="709"/>
                <w:tab w:val="left" w:pos="176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color w:themeColor="text1" w:val="000000"/>
                <w:sz w:val="18"/>
                <w:szCs w:val="18"/>
              </w:rPr>
            </w:pPr>
            <w:r>
              <w:rPr>
                <w:rFonts w:cs="Calibri" w:cstheme="minorHAnsi"/>
                <w:color w:themeColor="text1" w:val="000000"/>
                <w:sz w:val="18"/>
                <w:szCs w:val="18"/>
              </w:rPr>
              <w:t>wymienia organizacje międzynarodowe i przedstawia ich rolę w zapewnieniu bezpieczeństwa Polski</w:t>
            </w:r>
          </w:p>
          <w:p>
            <w:pPr>
              <w:pStyle w:val="TabelatekstBEZWCIECIATabela"/>
              <w:numPr>
                <w:ilvl w:val="0"/>
                <w:numId w:val="16"/>
              </w:numPr>
              <w:spacing w:lineRule="auto" w:line="240" w:before="0" w:after="0"/>
              <w:ind w:hanging="357" w:left="357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>wymienia uzbrojenie Sił Zbrojnych RP</w:t>
            </w:r>
          </w:p>
        </w:tc>
        <w:tc>
          <w:tcPr>
            <w:tcW w:w="20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>
            <w:pPr>
              <w:pStyle w:val="ListParagraph"/>
              <w:numPr>
                <w:ilvl w:val="0"/>
                <w:numId w:val="16"/>
              </w:numPr>
              <w:tabs>
                <w:tab w:val="clear" w:pos="709"/>
                <w:tab w:val="left" w:pos="176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color w:themeColor="text1" w:val="000000"/>
                <w:sz w:val="18"/>
                <w:szCs w:val="18"/>
              </w:rPr>
            </w:pPr>
            <w:r>
              <w:rPr>
                <w:rFonts w:cs="Calibri" w:cstheme="minorHAnsi"/>
                <w:color w:themeColor="text1" w:val="000000"/>
                <w:sz w:val="18"/>
                <w:szCs w:val="18"/>
              </w:rPr>
              <w:t>omawia filary współczesnego bezpieczeństwa Polski</w:t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val="clear" w:pos="709"/>
                <w:tab w:val="left" w:pos="176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color w:themeColor="text1" w:val="000000"/>
                <w:sz w:val="18"/>
                <w:szCs w:val="18"/>
              </w:rPr>
            </w:pPr>
            <w:r>
              <w:rPr>
                <w:rFonts w:cs="Calibri" w:cstheme="minorHAnsi"/>
                <w:color w:themeColor="text1" w:val="000000"/>
                <w:sz w:val="18"/>
                <w:szCs w:val="18"/>
              </w:rPr>
              <w:t>omawia podstawowe zadania Sił Zbrojnych w systemie obronności państwa</w:t>
            </w:r>
          </w:p>
          <w:p>
            <w:pPr>
              <w:pStyle w:val="ListParagraph"/>
              <w:numPr>
                <w:ilvl w:val="0"/>
                <w:numId w:val="16"/>
              </w:numPr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color w:themeColor="text1" w:val="000000"/>
                <w:sz w:val="18"/>
                <w:szCs w:val="18"/>
              </w:rPr>
            </w:pPr>
            <w:r>
              <w:rPr>
                <w:rFonts w:cs="Calibri" w:cstheme="minorHAnsi"/>
                <w:color w:themeColor="text1" w:val="000000"/>
                <w:sz w:val="18"/>
                <w:szCs w:val="18"/>
              </w:rPr>
              <w:t>wyjaśnia rolę Sił Zbrojnych w systemie obronności państwa</w:t>
            </w:r>
          </w:p>
          <w:p>
            <w:pPr>
              <w:pStyle w:val="TabelatekstBEZWCIECIATabela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color w:themeColor="text1" w:val="000000"/>
              </w:rPr>
            </w:pPr>
            <w:r>
              <w:rPr>
                <w:rFonts w:cs="Calibri" w:cstheme="minorHAnsi" w:ascii="Calibri" w:hAnsi="Calibri"/>
                <w:color w:themeColor="text1" w:val="000000"/>
              </w:rPr>
            </w: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>
            <w:pPr>
              <w:pStyle w:val="ListParagraph"/>
              <w:numPr>
                <w:ilvl w:val="0"/>
                <w:numId w:val="16"/>
              </w:numPr>
              <w:tabs>
                <w:tab w:val="clear" w:pos="709"/>
                <w:tab w:val="left" w:pos="176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color w:themeColor="text1" w:val="000000"/>
                <w:sz w:val="18"/>
                <w:szCs w:val="18"/>
              </w:rPr>
            </w:pPr>
            <w:r>
              <w:rPr>
                <w:rFonts w:cs="Calibri" w:cstheme="minorHAnsi"/>
                <w:color w:themeColor="text1" w:val="000000"/>
                <w:sz w:val="18"/>
                <w:szCs w:val="18"/>
              </w:rPr>
              <w:t>omawia rolę organizacji międzynarodowych w zapewnieniu bezpieczeństwa Polski</w:t>
            </w:r>
          </w:p>
          <w:p>
            <w:pPr>
              <w:pStyle w:val="TabelatekstBEZWCIECIATabela"/>
              <w:numPr>
                <w:ilvl w:val="0"/>
                <w:numId w:val="16"/>
              </w:numPr>
              <w:spacing w:lineRule="auto" w:line="240" w:before="0" w:after="0"/>
              <w:ind w:hanging="357" w:left="357"/>
              <w:rPr>
                <w:rFonts w:ascii="Calibri" w:hAnsi="Calibri" w:cs="Calibri" w:asciiTheme="minorHAnsi" w:cstheme="minorHAnsi" w:hAnsiTheme="minorHAnsi"/>
                <w:color w:themeColor="text1"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>opisuje strukturę organizacyjną Sił Zbrojnych RP</w:t>
            </w:r>
          </w:p>
        </w:tc>
      </w:tr>
      <w:tr>
        <w:trPr>
          <w:trHeight w:val="61" w:hRule="atLeast"/>
        </w:trPr>
        <w:tc>
          <w:tcPr>
            <w:tcW w:w="5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FEF5E1" w:val="clear"/>
          </w:tcPr>
          <w:p>
            <w:pPr>
              <w:pStyle w:val="TabelatekstCENTERTabela"/>
              <w:spacing w:lineRule="auto" w:line="240" w:before="0" w:after="85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20</w:t>
            </w:r>
          </w:p>
        </w:tc>
        <w:tc>
          <w:tcPr>
            <w:tcW w:w="2589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TabelatekstBEZWCIECIATabela"/>
              <w:spacing w:lineRule="auto" w:line="240" w:before="0" w:after="85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bCs/>
              </w:rPr>
              <w:t>Cyberbezpieczeństwo w wymiarze wojskowym</w:t>
            </w:r>
          </w:p>
        </w:tc>
        <w:tc>
          <w:tcPr>
            <w:tcW w:w="227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TabelatekstCENTERTabela"/>
              <w:numPr>
                <w:ilvl w:val="0"/>
                <w:numId w:val="17"/>
              </w:numPr>
              <w:spacing w:lineRule="auto" w:line="240" w:before="0" w:after="0"/>
              <w:ind w:hanging="357" w:left="357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>przedstawia sposoby zabezpieczenia dowodów cyberprzemocy</w:t>
            </w:r>
          </w:p>
        </w:tc>
        <w:tc>
          <w:tcPr>
            <w:tcW w:w="2449" w:type="dxa"/>
            <w:gridSpan w:val="3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TabelatekstBEZWCIECIATabela"/>
              <w:numPr>
                <w:ilvl w:val="0"/>
                <w:numId w:val="17"/>
              </w:numPr>
              <w:spacing w:lineRule="auto" w:line="240" w:before="0" w:after="0"/>
              <w:ind w:hanging="357" w:left="357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>opisuje sposoby zabezpieczenia dowodów cyberprzemocy</w:t>
            </w:r>
          </w:p>
        </w:tc>
        <w:tc>
          <w:tcPr>
            <w:tcW w:w="2018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TabelatekstBEZWCIECIATabela"/>
              <w:numPr>
                <w:ilvl w:val="0"/>
                <w:numId w:val="17"/>
              </w:numPr>
              <w:spacing w:lineRule="auto" w:line="240" w:before="0" w:after="0"/>
              <w:ind w:hanging="357" w:left="357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>wyjaśnia istotę cyberbezpieczeńst</w:t>
            </w:r>
            <w:bookmarkStart w:id="0" w:name="_GoBack"/>
            <w:bookmarkEnd w:id="0"/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>wa państwa</w:t>
            </w:r>
          </w:p>
        </w:tc>
        <w:tc>
          <w:tcPr>
            <w:tcW w:w="20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>
            <w:pPr>
              <w:pStyle w:val="TabelatekstBEZWCIECIATabela"/>
              <w:numPr>
                <w:ilvl w:val="0"/>
                <w:numId w:val="17"/>
              </w:numPr>
              <w:spacing w:lineRule="auto" w:line="240" w:before="0" w:after="0"/>
              <w:ind w:hanging="357" w:left="357"/>
              <w:rPr>
                <w:rFonts w:ascii="Calibri" w:hAnsi="Calibri" w:eastAsia="Calibri" w:cs="Calibri" w:asciiTheme="minorHAnsi" w:cstheme="minorHAnsi" w:hAnsiTheme="minorHAnsi"/>
                <w:color w:themeColor="text1"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>przedstawia rolę i miejsce cyberbezpieczeństwa militarnego w systemie cyberbezpieczeństwa państwa</w:t>
            </w: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>
            <w:pPr>
              <w:pStyle w:val="TabelatekstBEZWCIECIATabela"/>
              <w:numPr>
                <w:ilvl w:val="0"/>
                <w:numId w:val="17"/>
              </w:numPr>
              <w:spacing w:lineRule="auto" w:line="240" w:before="0" w:after="0"/>
              <w:ind w:hanging="357" w:left="357"/>
              <w:rPr>
                <w:rFonts w:ascii="Calibri" w:hAnsi="Calibri" w:eastAsia="Calibri" w:cs="Calibri" w:asciiTheme="minorHAnsi" w:cstheme="minorHAnsi" w:hAnsiTheme="minorHAnsi"/>
                <w:color w:themeColor="text1"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>dobiera i tworzy umiarkowanie złożone wypowiedzi dotyczące cyberbezpieczeństwa państwa</w:t>
            </w:r>
          </w:p>
        </w:tc>
      </w:tr>
      <w:tr>
        <w:trPr>
          <w:trHeight w:val="61" w:hRule="atLeast"/>
        </w:trPr>
        <w:tc>
          <w:tcPr>
            <w:tcW w:w="5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FEF5E1" w:val="clear"/>
          </w:tcPr>
          <w:p>
            <w:pPr>
              <w:pStyle w:val="TabelatekstCENTERTabela"/>
              <w:spacing w:lineRule="auto" w:line="240" w:before="0" w:after="85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21</w:t>
            </w:r>
          </w:p>
        </w:tc>
        <w:tc>
          <w:tcPr>
            <w:tcW w:w="2589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TabelatekstBEZWCIECIATabela"/>
              <w:spacing w:lineRule="auto" w:line="240" w:before="0" w:after="85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bCs/>
              </w:rPr>
              <w:t>Powtórzenie i utrwalenie wiadomości</w:t>
            </w:r>
          </w:p>
        </w:tc>
        <w:tc>
          <w:tcPr>
            <w:tcW w:w="10770" w:type="dxa"/>
            <w:gridSpan w:val="7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TabelatekstBEZWCIECIATabela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themeColor="text1"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>wszystkie wymagania z tematów 18–20</w:t>
            </w:r>
          </w:p>
        </w:tc>
      </w:tr>
      <w:tr>
        <w:trPr>
          <w:trHeight w:val="61" w:hRule="atLeast"/>
        </w:trPr>
        <w:tc>
          <w:tcPr>
            <w:tcW w:w="5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FEF5E1" w:val="clear"/>
          </w:tcPr>
          <w:p>
            <w:pPr>
              <w:pStyle w:val="TabelatekstCENTERTabela"/>
              <w:spacing w:lineRule="auto" w:line="240" w:before="0" w:after="85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22</w:t>
            </w:r>
          </w:p>
        </w:tc>
        <w:tc>
          <w:tcPr>
            <w:tcW w:w="2589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TabelatekstBEZWCIECIATabela"/>
              <w:spacing w:lineRule="auto" w:line="240" w:before="0" w:after="85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bCs/>
              </w:rPr>
              <w:t>Zasady orientowania się w terenie</w:t>
            </w:r>
          </w:p>
        </w:tc>
        <w:tc>
          <w:tcPr>
            <w:tcW w:w="227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TabelatekstCENTERTabela"/>
              <w:numPr>
                <w:ilvl w:val="0"/>
                <w:numId w:val="18"/>
              </w:numPr>
              <w:spacing w:lineRule="auto" w:line="240" w:before="0" w:after="0"/>
              <w:ind w:hanging="357" w:left="357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>wskazuje kierunki świata za pomocą: Słońca, Słońca i zegarka</w:t>
            </w:r>
          </w:p>
        </w:tc>
        <w:tc>
          <w:tcPr>
            <w:tcW w:w="21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TabelatekstBEZWCIECIATabela"/>
              <w:numPr>
                <w:ilvl w:val="0"/>
                <w:numId w:val="18"/>
              </w:numPr>
              <w:spacing w:lineRule="auto" w:line="240" w:before="0" w:after="0"/>
              <w:ind w:hanging="357" w:left="357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>wyjaśnia zasady orientowania się w terenie</w:t>
            </w:r>
          </w:p>
        </w:tc>
        <w:tc>
          <w:tcPr>
            <w:tcW w:w="2351" w:type="dxa"/>
            <w:gridSpan w:val="3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8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color w:themeColor="text1" w:val="000000"/>
                <w:sz w:val="18"/>
                <w:szCs w:val="18"/>
              </w:rPr>
            </w:pPr>
            <w:r>
              <w:rPr>
                <w:rFonts w:cs="Calibri" w:cstheme="minorHAnsi"/>
                <w:color w:themeColor="text1" w:val="000000"/>
                <w:sz w:val="18"/>
                <w:szCs w:val="18"/>
              </w:rPr>
              <w:t>orientuje się w terenie na podstawie cech przedmiotów terenowych</w:t>
            </w:r>
          </w:p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ind w:hanging="357" w:left="357"/>
              <w:contextualSpacing/>
              <w:rPr>
                <w:rFonts w:eastAsia="Calibri" w:cs="Calibri" w:cstheme="minorHAnsi"/>
                <w:color w:themeColor="text1" w:val="000000"/>
                <w:sz w:val="18"/>
                <w:szCs w:val="18"/>
              </w:rPr>
            </w:pPr>
            <w:r>
              <w:rPr>
                <w:rFonts w:cs="Calibri" w:cstheme="minorHAnsi"/>
                <w:color w:themeColor="text1" w:val="000000"/>
                <w:sz w:val="18"/>
                <w:szCs w:val="18"/>
              </w:rPr>
              <w:t>wskazuje kierunki świata za pomocą kompasu</w:t>
            </w:r>
          </w:p>
        </w:tc>
        <w:tc>
          <w:tcPr>
            <w:tcW w:w="20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ind w:hanging="357" w:left="357"/>
              <w:contextualSpacing/>
              <w:rPr>
                <w:rFonts w:eastAsia="Calibri" w:cs="Calibri" w:cstheme="minorHAnsi"/>
                <w:color w:themeColor="text1" w:val="000000"/>
                <w:sz w:val="18"/>
                <w:szCs w:val="18"/>
              </w:rPr>
            </w:pPr>
            <w:r>
              <w:rPr>
                <w:rFonts w:cs="Calibri" w:cstheme="minorHAnsi"/>
                <w:color w:themeColor="text1" w:val="000000"/>
                <w:sz w:val="18"/>
                <w:szCs w:val="18"/>
              </w:rPr>
              <w:t>wskazuje kierunki świata za pomocą Gwiazdy Polarnej i faz Księżyca</w:t>
            </w: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ind w:hanging="357" w:left="357"/>
              <w:contextualSpacing/>
              <w:rPr>
                <w:rFonts w:eastAsia="Calibri" w:cs="Calibri" w:cstheme="minorHAnsi"/>
                <w:color w:themeColor="text1" w:val="000000"/>
                <w:sz w:val="18"/>
                <w:szCs w:val="18"/>
              </w:rPr>
            </w:pPr>
            <w:r>
              <w:rPr>
                <w:rFonts w:cs="Calibri" w:cstheme="minorHAnsi"/>
                <w:color w:themeColor="text1" w:val="000000"/>
                <w:sz w:val="18"/>
                <w:szCs w:val="18"/>
              </w:rPr>
              <w:t>wskazuje kierunki świata za pomocą busoli i GPS</w:t>
            </w:r>
          </w:p>
        </w:tc>
      </w:tr>
      <w:tr>
        <w:trPr>
          <w:trHeight w:val="61" w:hRule="atLeast"/>
        </w:trPr>
        <w:tc>
          <w:tcPr>
            <w:tcW w:w="5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FEF5E1" w:val="clear"/>
          </w:tcPr>
          <w:p>
            <w:pPr>
              <w:pStyle w:val="TabelatekstCENTERTabela"/>
              <w:spacing w:lineRule="auto" w:line="240" w:before="0" w:after="85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23</w:t>
            </w:r>
          </w:p>
        </w:tc>
        <w:tc>
          <w:tcPr>
            <w:tcW w:w="2589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TabelatekstBEZWCIECIATabela"/>
              <w:spacing w:lineRule="auto" w:line="240" w:before="0" w:after="85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bCs/>
              </w:rPr>
              <w:t>Posługiwanie się mapą</w:t>
            </w:r>
          </w:p>
        </w:tc>
        <w:tc>
          <w:tcPr>
            <w:tcW w:w="227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TabelatekstCENTERTabela"/>
              <w:numPr>
                <w:ilvl w:val="0"/>
                <w:numId w:val="21"/>
              </w:numPr>
              <w:spacing w:lineRule="auto" w:line="240" w:before="0" w:after="0"/>
              <w:ind w:hanging="357" w:left="357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>wyjaśnia zasady orientowania się w terenie za pomocą mapy</w:t>
            </w:r>
          </w:p>
        </w:tc>
        <w:tc>
          <w:tcPr>
            <w:tcW w:w="21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9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color w:themeColor="text1" w:val="000000"/>
                <w:sz w:val="18"/>
                <w:szCs w:val="18"/>
              </w:rPr>
            </w:pPr>
            <w:r>
              <w:rPr>
                <w:rFonts w:cs="Calibri" w:cstheme="minorHAnsi"/>
                <w:color w:themeColor="text1" w:val="000000"/>
                <w:sz w:val="18"/>
                <w:szCs w:val="18"/>
              </w:rPr>
              <w:t>wskazuje różnicę między mapą a planem;</w:t>
            </w:r>
          </w:p>
          <w:p>
            <w:pPr>
              <w:pStyle w:val="TabelatekstBEZWCIECIATabela"/>
              <w:numPr>
                <w:ilvl w:val="0"/>
                <w:numId w:val="19"/>
              </w:numPr>
              <w:spacing w:lineRule="auto" w:line="240" w:before="0" w:after="0"/>
              <w:ind w:hanging="357" w:left="357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>posługuje się planem</w:t>
            </w:r>
          </w:p>
        </w:tc>
        <w:tc>
          <w:tcPr>
            <w:tcW w:w="2351" w:type="dxa"/>
            <w:gridSpan w:val="3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9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color w:themeColor="text1" w:val="000000"/>
                <w:sz w:val="18"/>
                <w:szCs w:val="18"/>
              </w:rPr>
            </w:pPr>
            <w:r>
              <w:rPr>
                <w:rFonts w:cs="Calibri" w:cstheme="minorHAnsi"/>
                <w:color w:themeColor="text1" w:val="000000"/>
                <w:sz w:val="18"/>
                <w:szCs w:val="18"/>
              </w:rPr>
              <w:t>rozróżnia znaki topograficzne</w:t>
            </w:r>
          </w:p>
          <w:p>
            <w:pPr>
              <w:pStyle w:val="TabelatekstBEZWCIECIATabela"/>
              <w:numPr>
                <w:ilvl w:val="0"/>
                <w:numId w:val="19"/>
              </w:numPr>
              <w:spacing w:lineRule="auto" w:line="240" w:before="0" w:after="0"/>
              <w:ind w:hanging="357" w:left="357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>czyta mapę topograficzną</w:t>
            </w:r>
          </w:p>
        </w:tc>
        <w:tc>
          <w:tcPr>
            <w:tcW w:w="20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>
            <w:pPr>
              <w:pStyle w:val="ListParagraph"/>
              <w:numPr>
                <w:ilvl w:val="0"/>
                <w:numId w:val="19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color w:themeColor="text1" w:val="000000"/>
                <w:sz w:val="18"/>
                <w:szCs w:val="18"/>
              </w:rPr>
            </w:pPr>
            <w:r>
              <w:rPr>
                <w:rFonts w:cs="Calibri" w:cstheme="minorHAnsi"/>
                <w:color w:themeColor="text1" w:val="000000"/>
                <w:sz w:val="18"/>
                <w:szCs w:val="18"/>
              </w:rPr>
              <w:t>orientuje się w terenie według mapy</w:t>
            </w:r>
          </w:p>
          <w:p>
            <w:pPr>
              <w:pStyle w:val="TabelatekstBEZWCIECIATabela"/>
              <w:numPr>
                <w:ilvl w:val="0"/>
                <w:numId w:val="19"/>
              </w:numPr>
              <w:spacing w:lineRule="auto" w:line="240" w:before="0" w:after="0"/>
              <w:ind w:hanging="357" w:left="357"/>
              <w:rPr>
                <w:rFonts w:ascii="Calibri" w:hAnsi="Calibri" w:eastAsia="Calibri" w:cs="Calibri" w:asciiTheme="minorHAnsi" w:cstheme="minorHAnsi" w:hAnsiTheme="minorHAnsi"/>
                <w:color w:themeColor="text1"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>orientuje mapę geometrycznie i magnetycznie</w:t>
            </w: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>
            <w:pPr>
              <w:pStyle w:val="ListParagraph"/>
              <w:numPr>
                <w:ilvl w:val="0"/>
                <w:numId w:val="19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color w:themeColor="text1" w:val="000000"/>
                <w:sz w:val="18"/>
                <w:szCs w:val="18"/>
              </w:rPr>
            </w:pPr>
            <w:r>
              <w:rPr>
                <w:rFonts w:cs="Calibri" w:cstheme="minorHAnsi"/>
                <w:color w:themeColor="text1" w:val="000000"/>
                <w:sz w:val="18"/>
                <w:szCs w:val="18"/>
              </w:rPr>
              <w:t>porównuje mapę z terenem</w:t>
            </w:r>
          </w:p>
          <w:p>
            <w:pPr>
              <w:pStyle w:val="TabelatekstBEZWCIECIATabela"/>
              <w:numPr>
                <w:ilvl w:val="0"/>
                <w:numId w:val="19"/>
              </w:numPr>
              <w:spacing w:lineRule="auto" w:line="240" w:before="0" w:after="0"/>
              <w:ind w:hanging="357" w:left="357"/>
              <w:rPr>
                <w:rFonts w:ascii="Calibri" w:hAnsi="Calibri" w:eastAsia="Calibri" w:cs="Calibri" w:asciiTheme="minorHAnsi" w:cstheme="minorHAnsi" w:hAnsiTheme="minorHAnsi"/>
                <w:color w:themeColor="text1"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>określa swoje miejsce na mapie</w:t>
            </w:r>
          </w:p>
        </w:tc>
      </w:tr>
      <w:tr>
        <w:trPr>
          <w:trHeight w:val="61" w:hRule="atLeast"/>
        </w:trPr>
        <w:tc>
          <w:tcPr>
            <w:tcW w:w="5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FEF5E1" w:val="clear"/>
          </w:tcPr>
          <w:p>
            <w:pPr>
              <w:pStyle w:val="TabelatekstCENTERTabela"/>
              <w:spacing w:lineRule="auto" w:line="240" w:before="0" w:after="85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24</w:t>
            </w:r>
          </w:p>
        </w:tc>
        <w:tc>
          <w:tcPr>
            <w:tcW w:w="2589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TabelatekstBEZWCIECIATabela"/>
              <w:spacing w:lineRule="auto" w:line="240" w:before="0" w:after="85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bCs/>
              </w:rPr>
              <w:t>Strzelecka broń sportowa</w:t>
            </w:r>
          </w:p>
        </w:tc>
        <w:tc>
          <w:tcPr>
            <w:tcW w:w="227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0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color w:themeColor="text1" w:val="000000"/>
                <w:sz w:val="18"/>
                <w:szCs w:val="18"/>
              </w:rPr>
            </w:pPr>
            <w:bookmarkStart w:id="1" w:name="_Hlk152510463"/>
            <w:r>
              <w:rPr>
                <w:rFonts w:cs="Calibri" w:cstheme="minorHAnsi"/>
                <w:color w:themeColor="text1" w:val="000000"/>
                <w:sz w:val="18"/>
                <w:szCs w:val="18"/>
              </w:rPr>
              <w:t>rozróżnia kategorie broni strzeleckiej</w:t>
            </w:r>
          </w:p>
          <w:p>
            <w:pPr>
              <w:pStyle w:val="ListParagraph"/>
              <w:numPr>
                <w:ilvl w:val="0"/>
                <w:numId w:val="20"/>
              </w:numPr>
              <w:tabs>
                <w:tab w:val="clear" w:pos="709"/>
                <w:tab w:val="left" w:pos="175" w:leader="none"/>
              </w:tabs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color w:themeColor="text1" w:val="000000"/>
                <w:sz w:val="18"/>
                <w:szCs w:val="18"/>
              </w:rPr>
            </w:pPr>
            <w:bookmarkStart w:id="2" w:name="_Hlk152510463"/>
            <w:r>
              <w:rPr>
                <w:rFonts w:cs="Calibri" w:cstheme="minorHAnsi"/>
                <w:color w:themeColor="text1" w:val="000000"/>
                <w:sz w:val="18"/>
                <w:szCs w:val="18"/>
              </w:rPr>
              <w:t>opisuje zasady zachowania się na strzelnicy przy posługiwaniu się bronią</w:t>
            </w:r>
            <w:bookmarkEnd w:id="2"/>
          </w:p>
        </w:tc>
        <w:tc>
          <w:tcPr>
            <w:tcW w:w="21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TabelatekstBEZWCIECIATabela"/>
              <w:numPr>
                <w:ilvl w:val="0"/>
                <w:numId w:val="20"/>
              </w:numPr>
              <w:spacing w:lineRule="auto" w:line="240" w:before="0" w:after="0"/>
              <w:ind w:hanging="357" w:left="357"/>
              <w:rPr>
                <w:rFonts w:ascii="Calibri" w:hAnsi="Calibri" w:cs="Calibri" w:asciiTheme="minorHAnsi" w:cstheme="minorHAnsi" w:hAnsiTheme="minorHAnsi"/>
              </w:rPr>
            </w:pPr>
            <w:bookmarkStart w:id="3" w:name="_Hlk152510481"/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>wymienia podstawowe części składowe broni strzeleckiej</w:t>
            </w:r>
            <w:bookmarkEnd w:id="3"/>
          </w:p>
        </w:tc>
        <w:tc>
          <w:tcPr>
            <w:tcW w:w="2351" w:type="dxa"/>
            <w:gridSpan w:val="3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TabelatekstBEZWCIECIATabela"/>
              <w:numPr>
                <w:ilvl w:val="0"/>
                <w:numId w:val="20"/>
              </w:numPr>
              <w:spacing w:lineRule="auto" w:line="240" w:before="0" w:after="0"/>
              <w:ind w:hanging="357" w:left="357"/>
              <w:rPr>
                <w:rFonts w:ascii="Calibri" w:hAnsi="Calibri" w:cs="Calibri" w:asciiTheme="minorHAnsi" w:cstheme="minorHAnsi" w:hAnsiTheme="minorHAnsi"/>
              </w:rPr>
            </w:pPr>
            <w:bookmarkStart w:id="4" w:name="_Hlk152510496"/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>opisuje poszczególne części składowe broni strzeleckiej</w:t>
            </w:r>
            <w:bookmarkEnd w:id="4"/>
          </w:p>
        </w:tc>
        <w:tc>
          <w:tcPr>
            <w:tcW w:w="20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>
            <w:pPr>
              <w:pStyle w:val="TabelatekstBEZWCIECIATabela"/>
              <w:numPr>
                <w:ilvl w:val="0"/>
                <w:numId w:val="20"/>
              </w:numPr>
              <w:spacing w:lineRule="auto" w:line="240" w:before="0" w:after="0"/>
              <w:ind w:hanging="357" w:left="357"/>
              <w:rPr>
                <w:rFonts w:ascii="Calibri" w:hAnsi="Calibri" w:eastAsia="Calibri" w:cs="Calibri" w:asciiTheme="minorHAnsi" w:cstheme="minorHAnsi" w:hAnsiTheme="minorHAnsi"/>
                <w:color w:themeColor="text1" w:val="000000"/>
              </w:rPr>
            </w:pPr>
            <w:bookmarkStart w:id="5" w:name="_Hlk152510508"/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>uzasadnia konieczność dokonywania przeglądu, czyszczenia i konserwacji broni strzeleckiej</w:t>
            </w:r>
            <w:bookmarkEnd w:id="5"/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>
            <w:pPr>
              <w:pStyle w:val="TabelatekstBEZWCIECIATabela"/>
              <w:numPr>
                <w:ilvl w:val="0"/>
                <w:numId w:val="20"/>
              </w:numPr>
              <w:spacing w:lineRule="auto" w:line="240" w:before="0" w:after="0"/>
              <w:ind w:hanging="357" w:left="357"/>
              <w:rPr>
                <w:rFonts w:ascii="Calibri" w:hAnsi="Calibri" w:eastAsia="Calibri" w:cs="Calibri" w:asciiTheme="minorHAnsi" w:cstheme="minorHAnsi" w:hAnsiTheme="minorHAnsi"/>
                <w:color w:themeColor="text1" w:val="000000"/>
              </w:rPr>
            </w:pPr>
            <w:bookmarkStart w:id="6" w:name="_Hlk152510522"/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>wyjaśnia zasadność stosowania środków ostrożności przy posługiwaniu się bronią</w:t>
            </w:r>
            <w:bookmarkEnd w:id="6"/>
          </w:p>
        </w:tc>
      </w:tr>
      <w:tr>
        <w:trPr>
          <w:trHeight w:val="61" w:hRule="atLeast"/>
        </w:trPr>
        <w:tc>
          <w:tcPr>
            <w:tcW w:w="5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FEF5E1" w:val="clear"/>
          </w:tcPr>
          <w:p>
            <w:pPr>
              <w:pStyle w:val="TabelatekstCENTERTabela"/>
              <w:spacing w:lineRule="auto" w:line="240" w:before="0" w:after="85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25</w:t>
            </w:r>
          </w:p>
        </w:tc>
        <w:tc>
          <w:tcPr>
            <w:tcW w:w="2589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TabelatekstBEZWCIECIATabela"/>
              <w:spacing w:lineRule="auto" w:line="240"/>
              <w:rPr>
                <w:rFonts w:ascii="Calibri" w:hAnsi="Calibri" w:cs="Calibri"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Bezpieczeństwo na strzelnicy</w:t>
            </w:r>
          </w:p>
          <w:p>
            <w:pPr>
              <w:pStyle w:val="TabelatekstBEZWCIECIATabela"/>
              <w:spacing w:lineRule="auto" w:line="240" w:before="0" w:after="85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227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TabelatekstCENTERTabela"/>
              <w:numPr>
                <w:ilvl w:val="0"/>
                <w:numId w:val="22"/>
              </w:numPr>
              <w:spacing w:lineRule="auto" w:line="240" w:before="0" w:after="0"/>
              <w:ind w:hanging="357" w:left="357"/>
              <w:jc w:val="left"/>
              <w:rPr>
                <w:rFonts w:ascii="Calibri" w:hAnsi="Calibri" w:cs="Calibri" w:asciiTheme="minorHAnsi" w:cstheme="minorHAnsi" w:hAnsiTheme="minorHAnsi"/>
              </w:rPr>
            </w:pPr>
            <w:bookmarkStart w:id="7" w:name="_Hlk152510562"/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>wymienia okresy zjawiska strzału</w:t>
            </w:r>
            <w:bookmarkEnd w:id="7"/>
          </w:p>
        </w:tc>
        <w:tc>
          <w:tcPr>
            <w:tcW w:w="21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TabelatekstBEZWCIECIATabela"/>
              <w:numPr>
                <w:ilvl w:val="0"/>
                <w:numId w:val="22"/>
              </w:numPr>
              <w:spacing w:lineRule="auto" w:line="240" w:before="0" w:after="0"/>
              <w:ind w:hanging="357" w:left="357"/>
              <w:rPr>
                <w:rFonts w:ascii="Calibri" w:hAnsi="Calibri" w:cs="Calibri" w:asciiTheme="minorHAnsi" w:cstheme="minorHAnsi" w:hAnsiTheme="minorHAnsi"/>
              </w:rPr>
            </w:pPr>
            <w:bookmarkStart w:id="8" w:name="_Hlk152510583"/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>wyjaśnia od czego zależy siła odrzutu</w:t>
            </w:r>
            <w:bookmarkEnd w:id="8"/>
          </w:p>
        </w:tc>
        <w:tc>
          <w:tcPr>
            <w:tcW w:w="2351" w:type="dxa"/>
            <w:gridSpan w:val="3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TabelatekstBEZWCIECIATabela"/>
              <w:numPr>
                <w:ilvl w:val="0"/>
                <w:numId w:val="22"/>
              </w:numPr>
              <w:spacing w:lineRule="auto" w:line="240" w:before="0" w:after="0"/>
              <w:ind w:hanging="357" w:left="357"/>
              <w:rPr>
                <w:rFonts w:ascii="Calibri" w:hAnsi="Calibri" w:cs="Calibri" w:asciiTheme="minorHAnsi" w:cstheme="minorHAnsi" w:hAnsiTheme="minorHAnsi"/>
              </w:rPr>
            </w:pPr>
            <w:bookmarkStart w:id="9" w:name="_Hlk152510598"/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>opisuje podstawowe czynniki warunkujące tor lotu pocisku</w:t>
            </w:r>
            <w:bookmarkEnd w:id="9"/>
          </w:p>
        </w:tc>
        <w:tc>
          <w:tcPr>
            <w:tcW w:w="20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>
            <w:pPr>
              <w:pStyle w:val="TabelatekstBEZWCIECIATabela"/>
              <w:numPr>
                <w:ilvl w:val="0"/>
                <w:numId w:val="22"/>
              </w:numPr>
              <w:spacing w:lineRule="auto" w:line="240" w:before="0" w:after="0"/>
              <w:ind w:hanging="357" w:left="357"/>
              <w:rPr>
                <w:rFonts w:ascii="Calibri" w:hAnsi="Calibri" w:eastAsia="Calibri" w:cs="Calibri" w:asciiTheme="minorHAnsi" w:cstheme="minorHAnsi" w:hAnsiTheme="minorHAnsi"/>
                <w:color w:themeColor="text1" w:val="000000"/>
              </w:rPr>
            </w:pPr>
            <w:bookmarkStart w:id="10" w:name="_Hlk152510612"/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>charakteryzuje poszczególne okresy zjawiska strzału</w:t>
            </w:r>
            <w:bookmarkEnd w:id="10"/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>
            <w:pPr>
              <w:pStyle w:val="TabelatekstBEZWCIECIATabela"/>
              <w:numPr>
                <w:ilvl w:val="0"/>
                <w:numId w:val="22"/>
              </w:numPr>
              <w:spacing w:lineRule="auto" w:line="240" w:before="0" w:after="0"/>
              <w:ind w:hanging="357" w:left="357"/>
              <w:rPr>
                <w:rFonts w:ascii="Calibri" w:hAnsi="Calibri" w:eastAsia="Calibri" w:cs="Calibri" w:asciiTheme="minorHAnsi" w:cstheme="minorHAnsi" w:hAnsiTheme="minorHAnsi"/>
                <w:color w:themeColor="text1" w:val="000000"/>
              </w:rPr>
            </w:pPr>
            <w:bookmarkStart w:id="11" w:name="_Hlk152510624"/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>opisuje poszczególne elementy toru pocisku</w:t>
            </w:r>
            <w:bookmarkEnd w:id="11"/>
          </w:p>
        </w:tc>
      </w:tr>
      <w:tr>
        <w:trPr>
          <w:trHeight w:val="61" w:hRule="atLeast"/>
        </w:trPr>
        <w:tc>
          <w:tcPr>
            <w:tcW w:w="5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FEF5E1" w:val="clear"/>
          </w:tcPr>
          <w:p>
            <w:pPr>
              <w:pStyle w:val="TabelatekstCENTERTabela"/>
              <w:spacing w:lineRule="auto" w:line="240" w:before="0" w:after="85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26</w:t>
            </w:r>
          </w:p>
        </w:tc>
        <w:tc>
          <w:tcPr>
            <w:tcW w:w="2589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TabelatekstBEZWCIECIATabela"/>
              <w:spacing w:lineRule="auto" w:line="240" w:before="0" w:after="85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bCs/>
              </w:rPr>
              <w:t>Celowanie i celność strzelania</w:t>
            </w:r>
          </w:p>
        </w:tc>
        <w:tc>
          <w:tcPr>
            <w:tcW w:w="227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TabelatekstCENTERTabela"/>
              <w:numPr>
                <w:ilvl w:val="0"/>
                <w:numId w:val="24"/>
              </w:numPr>
              <w:spacing w:lineRule="auto" w:line="240" w:before="0" w:after="0"/>
              <w:ind w:hanging="357" w:left="357"/>
              <w:jc w:val="left"/>
              <w:rPr>
                <w:rFonts w:ascii="Calibri" w:hAnsi="Calibri" w:cs="Calibri" w:asciiTheme="minorHAnsi" w:cstheme="minorHAnsi" w:hAnsiTheme="minorHAnsi"/>
              </w:rPr>
            </w:pPr>
            <w:bookmarkStart w:id="12" w:name="_Hlk152510659"/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>przyjmuje postawy strzeleckie: leżącą, klęczącą i stojącą</w:t>
            </w:r>
            <w:bookmarkEnd w:id="12"/>
          </w:p>
        </w:tc>
        <w:tc>
          <w:tcPr>
            <w:tcW w:w="21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TabelatekstBEZWCIECIATabela"/>
              <w:numPr>
                <w:ilvl w:val="0"/>
                <w:numId w:val="23"/>
              </w:numPr>
              <w:spacing w:lineRule="auto" w:line="240" w:before="0" w:after="0"/>
              <w:ind w:hanging="357" w:left="357"/>
              <w:rPr>
                <w:rFonts w:ascii="Calibri" w:hAnsi="Calibri" w:cs="Calibri" w:asciiTheme="minorHAnsi" w:cstheme="minorHAnsi" w:hAnsiTheme="minorHAnsi"/>
              </w:rPr>
            </w:pPr>
            <w:bookmarkStart w:id="13" w:name="_Hlk152510671"/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>prawidłowo zgrywa przyrządy celownicze</w:t>
            </w:r>
            <w:bookmarkEnd w:id="13"/>
          </w:p>
        </w:tc>
        <w:tc>
          <w:tcPr>
            <w:tcW w:w="2351" w:type="dxa"/>
            <w:gridSpan w:val="3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3"/>
              </w:numPr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color w:themeColor="text1" w:val="000000"/>
                <w:sz w:val="18"/>
                <w:szCs w:val="18"/>
              </w:rPr>
            </w:pPr>
            <w:bookmarkStart w:id="14" w:name="_Hlk152510684"/>
            <w:r>
              <w:rPr>
                <w:rFonts w:cs="Calibri" w:cstheme="minorHAnsi"/>
                <w:color w:themeColor="text1" w:val="000000"/>
                <w:sz w:val="18"/>
                <w:szCs w:val="18"/>
              </w:rPr>
              <w:t>reguluje oddech w czasie składania się do strzału</w:t>
            </w:r>
            <w:bookmarkEnd w:id="14"/>
          </w:p>
        </w:tc>
        <w:tc>
          <w:tcPr>
            <w:tcW w:w="20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>
            <w:pPr>
              <w:pStyle w:val="ListParagraph"/>
              <w:numPr>
                <w:ilvl w:val="0"/>
                <w:numId w:val="23"/>
              </w:numPr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color w:themeColor="text1" w:val="000000"/>
                <w:sz w:val="18"/>
                <w:szCs w:val="18"/>
              </w:rPr>
            </w:pPr>
            <w:bookmarkStart w:id="15" w:name="_Hlk152510694"/>
            <w:r>
              <w:rPr>
                <w:rFonts w:cs="Calibri" w:cstheme="minorHAnsi"/>
                <w:color w:themeColor="text1" w:val="000000"/>
                <w:sz w:val="18"/>
                <w:szCs w:val="18"/>
              </w:rPr>
              <w:t>prawidłowo ściąga język spustowy</w:t>
            </w:r>
            <w:bookmarkEnd w:id="15"/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>
            <w:pPr>
              <w:pStyle w:val="ListParagraph"/>
              <w:numPr>
                <w:ilvl w:val="0"/>
                <w:numId w:val="23"/>
              </w:numPr>
              <w:spacing w:lineRule="auto" w:line="240" w:before="0" w:after="0"/>
              <w:ind w:hanging="357" w:left="357"/>
              <w:contextualSpacing/>
              <w:rPr>
                <w:rFonts w:cs="Calibri" w:cstheme="minorHAnsi"/>
                <w:color w:themeColor="text1" w:val="000000"/>
                <w:sz w:val="18"/>
                <w:szCs w:val="18"/>
              </w:rPr>
            </w:pPr>
            <w:bookmarkStart w:id="16" w:name="_Hlk152510710"/>
            <w:r>
              <w:rPr>
                <w:rFonts w:cs="Calibri" w:cstheme="minorHAnsi"/>
                <w:color w:themeColor="text1" w:val="000000"/>
                <w:sz w:val="18"/>
                <w:szCs w:val="18"/>
              </w:rPr>
              <w:t>opisuje warunki wpływające na celność strzelania</w:t>
            </w:r>
            <w:bookmarkEnd w:id="16"/>
          </w:p>
        </w:tc>
      </w:tr>
      <w:tr>
        <w:trPr>
          <w:trHeight w:val="61" w:hRule="atLeast"/>
        </w:trPr>
        <w:tc>
          <w:tcPr>
            <w:tcW w:w="5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FEF5E1" w:val="clear"/>
          </w:tcPr>
          <w:p>
            <w:pPr>
              <w:pStyle w:val="TabelatekstCENTERTabela"/>
              <w:spacing w:lineRule="auto" w:line="240" w:before="0" w:after="85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27</w:t>
            </w:r>
          </w:p>
        </w:tc>
        <w:tc>
          <w:tcPr>
            <w:tcW w:w="2589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TabelatekstBEZWCIECIATabela"/>
              <w:spacing w:lineRule="auto" w:line="240" w:before="0" w:after="85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bCs/>
              </w:rPr>
              <w:t>Powtórzenie i utrwalenie wiadomości</w:t>
            </w:r>
          </w:p>
        </w:tc>
        <w:tc>
          <w:tcPr>
            <w:tcW w:w="10770" w:type="dxa"/>
            <w:gridSpan w:val="7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color="auto" w:fill="auto" w:val="clear"/>
          </w:tcPr>
          <w:p>
            <w:pPr>
              <w:pStyle w:val="TabelatekstBEZWCIECIATabela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themeColor="text1" w:val="000000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wszystkie wymagania z tematów 22–26</w:t>
            </w:r>
          </w:p>
        </w:tc>
      </w:tr>
    </w:tbl>
    <w:p>
      <w:pPr>
        <w:pStyle w:val="Normal"/>
        <w:spacing w:lineRule="auto" w:line="240"/>
        <w:rPr>
          <w:rFonts w:ascii="Calibri" w:hAnsi="Calibri" w:cs="Calibri"/>
          <w:sz w:val="18"/>
          <w:szCs w:val="18"/>
        </w:rPr>
      </w:pPr>
      <w:r>
        <w:rPr>
          <w:rFonts w:cs="Calibri"/>
          <w:sz w:val="18"/>
          <w:szCs w:val="1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orient="landscape" w:w="16838" w:h="11906"/>
      <w:pgMar w:left="1134" w:right="1134" w:gutter="0" w:header="0" w:top="1701" w:footer="0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nion Pro">
    <w:charset w:val="ee"/>
    <w:family w:val="roman"/>
    <w:pitch w:val="variable"/>
  </w:font>
  <w:font w:name="AgendaPl Bold">
    <w:charset w:val="ee"/>
    <w:family w:val="roman"/>
    <w:pitch w:val="variable"/>
  </w:font>
  <w:font w:name="AgendaPl RegularCondensed">
    <w:charset w:val="ee"/>
    <w:family w:val="roman"/>
    <w:pitch w:val="variable"/>
  </w:font>
  <w:font w:name="Lato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9072"/>
        <w:tab w:val="center" w:pos="4536" w:leader="none"/>
        <w:tab w:val="right" w:pos="9639" w:leader="none"/>
      </w:tabs>
      <w:spacing w:lineRule="exact" w:line="160" w:before="80" w:after="0"/>
      <w:ind w:left="-567"/>
      <w:rPr>
        <w:sz w:val="18"/>
        <w:szCs w:val="18"/>
      </w:rPr>
    </w:pPr>
    <w:r>
      <w:rPr>
        <w:sz w:val="18"/>
        <w:szCs w:val="18"/>
      </w:rPr>
    </w:r>
  </w:p>
  <w:p>
    <w:pPr>
      <w:pStyle w:val="Footer"/>
      <w:tabs>
        <w:tab w:val="clear" w:pos="9072"/>
        <w:tab w:val="center" w:pos="4536" w:leader="none"/>
        <w:tab w:val="right" w:pos="9498" w:leader="none"/>
      </w:tabs>
      <w:spacing w:lineRule="exact" w:line="160" w:before="80" w:after="0"/>
      <w:ind w:left="-567"/>
      <w:rPr>
        <w:sz w:val="18"/>
        <w:szCs w:val="18"/>
      </w:rPr>
    </w:pPr>
    <w:r>
      <w:rPr>
        <w:sz w:val="18"/>
        <w:szCs w:val="18"/>
      </w:rPr>
      <mc:AlternateContent>
        <mc:Choice Requires="wps">
          <w:drawing>
            <wp:anchor behindDoc="1" distT="0" distB="22225" distL="0" distR="20955" simplePos="0" locked="0" layoutInCell="1" allowOverlap="1" relativeHeight="31" wp14:anchorId="3D99AD59">
              <wp:simplePos x="0" y="0"/>
              <wp:positionH relativeFrom="column">
                <wp:posOffset>-5080</wp:posOffset>
              </wp:positionH>
              <wp:positionV relativeFrom="paragraph">
                <wp:posOffset>89535</wp:posOffset>
              </wp:positionV>
              <wp:extent cx="9180195" cy="53975"/>
              <wp:effectExtent l="9525" t="10160" r="9525" b="9525"/>
              <wp:wrapNone/>
              <wp:docPr id="3" name="Łącznik prostoliniowy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80360" cy="5400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0.4pt,7.05pt" to="722.4pt,11.25pt" ID="Łącznik prostoliniowy 3" stroked="t" o:allowincell="f" style="position:absolute" wp14:anchorId="3D99AD59">
              <v:stroke color="#f09120" weight="1908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Footer"/>
      <w:tabs>
        <w:tab w:val="clear" w:pos="9072"/>
        <w:tab w:val="center" w:pos="4536" w:leader="none"/>
        <w:tab w:val="right" w:pos="9639" w:leader="none"/>
      </w:tabs>
      <w:spacing w:lineRule="exact" w:line="160" w:before="80" w:after="0"/>
      <w:rPr>
        <w:sz w:val="18"/>
        <w:szCs w:val="18"/>
      </w:rPr>
    </w:pPr>
    <w:r>
      <w:rPr>
        <w:sz w:val="18"/>
        <w:szCs w:val="18"/>
      </w:rPr>
      <w:t>Autorka: Bogusława Breitkopf</w:t>
    </w:r>
  </w:p>
  <w:p>
    <w:pPr>
      <w:pStyle w:val="Footer"/>
      <w:tabs>
        <w:tab w:val="clear" w:pos="9072"/>
        <w:tab w:val="center" w:pos="4536" w:leader="none"/>
        <w:tab w:val="right" w:pos="9639" w:leader="none"/>
      </w:tabs>
      <w:spacing w:lineRule="exact" w:line="160" w:before="80" w:after="0"/>
      <w:ind w:left="-567"/>
      <w:rPr>
        <w:lang w:eastAsia="pl-PL"/>
      </w:rPr>
    </w:pPr>
    <w:r>
      <w:rPr>
        <w:lang w:eastAsia="pl-PL"/>
      </w:rPr>
      <mc:AlternateContent>
        <mc:Choice Requires="wps">
          <w:drawing>
            <wp:anchor behindDoc="1" distT="0" distB="0" distL="0" distR="0" simplePos="0" locked="0" layoutInCell="1" allowOverlap="1" relativeHeight="41" wp14:anchorId="3994CBA0">
              <wp:simplePos x="0" y="0"/>
              <wp:positionH relativeFrom="column">
                <wp:posOffset>-1905</wp:posOffset>
              </wp:positionH>
              <wp:positionV relativeFrom="paragraph">
                <wp:posOffset>68580</wp:posOffset>
              </wp:positionV>
              <wp:extent cx="9177020" cy="0"/>
              <wp:effectExtent l="3175" t="3810" r="3810" b="3810"/>
              <wp:wrapNone/>
              <wp:docPr id="4" name="Łącznik prostoliniowy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7712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0.15pt,5.4pt" to="722.4pt,5.4pt" ID="Łącznik prostoliniowy 5" stroked="t" o:allowincell="f" style="position:absolute" wp14:anchorId="3994CBA0">
              <v:stroke color="black" weight="648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Footer"/>
      <w:tabs>
        <w:tab w:val="clear" w:pos="4536"/>
        <w:tab w:val="clear" w:pos="9072"/>
        <w:tab w:val="center" w:pos="7230" w:leader="none"/>
        <w:tab w:val="right" w:pos="14459" w:leader="none"/>
      </w:tabs>
      <w:spacing w:lineRule="exact" w:line="160" w:before="240" w:after="0"/>
      <w:rPr>
        <w:sz w:val="16"/>
        <w:szCs w:val="16"/>
        <w:lang w:eastAsia="pl-PL"/>
      </w:rPr>
    </w:pPr>
    <w:r>
      <w:rPr/>
      <w:drawing>
        <wp:inline distT="0" distB="0" distL="0" distR="0">
          <wp:extent cx="819785" cy="215900"/>
          <wp:effectExtent l="0" t="0" r="0" b="0"/>
          <wp:docPr id="5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1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10</w:t>
    </w:r>
    <w:r>
      <w:rPr/>
      <w:fldChar w:fldCharType="end"/>
    </w:r>
    <w:r>
      <w:rPr/>
      <w:tab/>
    </w:r>
    <w:r>
      <w:rPr>
        <w:sz w:val="16"/>
        <w:szCs w:val="16"/>
        <w:lang w:eastAsia="pl-PL"/>
      </w:rPr>
      <w:t>Copyright by WSiP</w:t>
    </w:r>
  </w:p>
  <w:p>
    <w:pPr>
      <w:pStyle w:val="Footer"/>
      <w:tabs>
        <w:tab w:val="clear" w:pos="4536"/>
        <w:tab w:val="clear" w:pos="9072"/>
        <w:tab w:val="center" w:pos="7230" w:leader="none"/>
        <w:tab w:val="right" w:pos="14459" w:leader="none"/>
      </w:tabs>
      <w:spacing w:lineRule="exact" w:line="160" w:before="240" w:after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9072"/>
        <w:tab w:val="center" w:pos="4536" w:leader="none"/>
        <w:tab w:val="right" w:pos="9639" w:leader="none"/>
      </w:tabs>
      <w:spacing w:lineRule="exact" w:line="160" w:before="80" w:after="0"/>
      <w:ind w:left="-567"/>
      <w:rPr>
        <w:sz w:val="18"/>
        <w:szCs w:val="18"/>
      </w:rPr>
    </w:pPr>
    <w:r>
      <w:rPr>
        <w:sz w:val="18"/>
        <w:szCs w:val="18"/>
      </w:rPr>
    </w:r>
  </w:p>
  <w:p>
    <w:pPr>
      <w:pStyle w:val="Footer"/>
      <w:tabs>
        <w:tab w:val="clear" w:pos="9072"/>
        <w:tab w:val="center" w:pos="4536" w:leader="none"/>
        <w:tab w:val="right" w:pos="9498" w:leader="none"/>
      </w:tabs>
      <w:spacing w:lineRule="exact" w:line="160" w:before="80" w:after="0"/>
      <w:ind w:left="-567"/>
      <w:rPr>
        <w:sz w:val="18"/>
        <w:szCs w:val="18"/>
      </w:rPr>
    </w:pPr>
    <w:r>
      <w:rPr>
        <w:sz w:val="18"/>
        <w:szCs w:val="18"/>
      </w:rPr>
      <mc:AlternateContent>
        <mc:Choice Requires="wps">
          <w:drawing>
            <wp:anchor behindDoc="1" distT="0" distB="22225" distL="0" distR="20955" simplePos="0" locked="0" layoutInCell="1" allowOverlap="1" relativeHeight="31" wp14:anchorId="3D99AD59">
              <wp:simplePos x="0" y="0"/>
              <wp:positionH relativeFrom="column">
                <wp:posOffset>-5080</wp:posOffset>
              </wp:positionH>
              <wp:positionV relativeFrom="paragraph">
                <wp:posOffset>89535</wp:posOffset>
              </wp:positionV>
              <wp:extent cx="9180195" cy="53975"/>
              <wp:effectExtent l="9525" t="10160" r="9525" b="9525"/>
              <wp:wrapNone/>
              <wp:docPr id="6" name="Łącznik prostoliniowy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80360" cy="5400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0.4pt,7.05pt" to="722.4pt,11.25pt" ID="Łącznik prostoliniowy 3" stroked="t" o:allowincell="f" style="position:absolute" wp14:anchorId="3D99AD59">
              <v:stroke color="#f09120" weight="1908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Footer"/>
      <w:tabs>
        <w:tab w:val="clear" w:pos="9072"/>
        <w:tab w:val="center" w:pos="4536" w:leader="none"/>
        <w:tab w:val="right" w:pos="9639" w:leader="none"/>
      </w:tabs>
      <w:spacing w:lineRule="exact" w:line="160" w:before="80" w:after="0"/>
      <w:rPr>
        <w:sz w:val="18"/>
        <w:szCs w:val="18"/>
      </w:rPr>
    </w:pPr>
    <w:r>
      <w:rPr>
        <w:sz w:val="18"/>
        <w:szCs w:val="18"/>
      </w:rPr>
      <w:t>Autorka: Bogusława Breitkopf</w:t>
    </w:r>
  </w:p>
  <w:p>
    <w:pPr>
      <w:pStyle w:val="Footer"/>
      <w:tabs>
        <w:tab w:val="clear" w:pos="9072"/>
        <w:tab w:val="center" w:pos="4536" w:leader="none"/>
        <w:tab w:val="right" w:pos="9639" w:leader="none"/>
      </w:tabs>
      <w:spacing w:lineRule="exact" w:line="160" w:before="80" w:after="0"/>
      <w:ind w:left="-567"/>
      <w:rPr>
        <w:lang w:eastAsia="pl-PL"/>
      </w:rPr>
    </w:pPr>
    <w:r>
      <w:rPr>
        <w:lang w:eastAsia="pl-PL"/>
      </w:rPr>
      <mc:AlternateContent>
        <mc:Choice Requires="wps">
          <w:drawing>
            <wp:anchor behindDoc="1" distT="0" distB="0" distL="0" distR="0" simplePos="0" locked="0" layoutInCell="1" allowOverlap="1" relativeHeight="41" wp14:anchorId="3994CBA0">
              <wp:simplePos x="0" y="0"/>
              <wp:positionH relativeFrom="column">
                <wp:posOffset>-1905</wp:posOffset>
              </wp:positionH>
              <wp:positionV relativeFrom="paragraph">
                <wp:posOffset>68580</wp:posOffset>
              </wp:positionV>
              <wp:extent cx="9177020" cy="0"/>
              <wp:effectExtent l="3175" t="3810" r="3810" b="3810"/>
              <wp:wrapNone/>
              <wp:docPr id="7" name="Łącznik prostoliniowy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7712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0.15pt,5.4pt" to="722.4pt,5.4pt" ID="Łącznik prostoliniowy 5" stroked="t" o:allowincell="f" style="position:absolute" wp14:anchorId="3994CBA0">
              <v:stroke color="black" weight="648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Footer"/>
      <w:tabs>
        <w:tab w:val="clear" w:pos="4536"/>
        <w:tab w:val="clear" w:pos="9072"/>
        <w:tab w:val="center" w:pos="7230" w:leader="none"/>
        <w:tab w:val="right" w:pos="14459" w:leader="none"/>
      </w:tabs>
      <w:spacing w:lineRule="exact" w:line="160" w:before="240" w:after="0"/>
      <w:rPr>
        <w:sz w:val="16"/>
        <w:szCs w:val="16"/>
        <w:lang w:eastAsia="pl-PL"/>
      </w:rPr>
    </w:pPr>
    <w:r>
      <w:rPr/>
      <w:drawing>
        <wp:inline distT="0" distB="0" distL="0" distR="0">
          <wp:extent cx="819785" cy="215900"/>
          <wp:effectExtent l="0" t="0" r="0" b="0"/>
          <wp:docPr id="8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1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10</w:t>
    </w:r>
    <w:r>
      <w:rPr/>
      <w:fldChar w:fldCharType="end"/>
    </w:r>
    <w:r>
      <w:rPr/>
      <w:tab/>
    </w:r>
    <w:r>
      <w:rPr>
        <w:sz w:val="16"/>
        <w:szCs w:val="16"/>
        <w:lang w:eastAsia="pl-PL"/>
      </w:rPr>
      <w:t>Copyright by WSiP</w:t>
    </w:r>
  </w:p>
  <w:p>
    <w:pPr>
      <w:pStyle w:val="Footer"/>
      <w:tabs>
        <w:tab w:val="clear" w:pos="4536"/>
        <w:tab w:val="clear" w:pos="9072"/>
        <w:tab w:val="center" w:pos="7230" w:leader="none"/>
        <w:tab w:val="right" w:pos="14459" w:leader="none"/>
      </w:tabs>
      <w:spacing w:lineRule="exact" w:line="160" w:before="240" w:after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9072"/>
        <w:tab w:val="center" w:pos="4536" w:leader="none"/>
      </w:tabs>
      <w:ind w:left="-1418"/>
      <w:rPr/>
    </w:pPr>
    <w:r>
      <w:rPr/>
    </w:r>
  </w:p>
  <w:p>
    <w:pPr>
      <w:pStyle w:val="Header"/>
      <w:tabs>
        <w:tab w:val="clear" w:pos="9072"/>
        <w:tab w:val="center" w:pos="4536" w:leader="none"/>
      </w:tabs>
      <w:ind w:left="-1418"/>
      <w:rPr/>
    </w:pPr>
    <w:r>
      <w:rPr/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-725805</wp:posOffset>
          </wp:positionH>
          <wp:positionV relativeFrom="paragraph">
            <wp:posOffset>219710</wp:posOffset>
          </wp:positionV>
          <wp:extent cx="10678160" cy="396240"/>
          <wp:effectExtent l="0" t="0" r="0" b="0"/>
          <wp:wrapNone/>
          <wp:docPr id="1" name="Obraz 2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78160" cy="396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4536"/>
        <w:tab w:val="clear" w:pos="9072"/>
        <w:tab w:val="left" w:pos="5591" w:leader="none"/>
      </w:tabs>
      <w:ind w:left="-1418"/>
      <w:rPr/>
    </w:pPr>
    <w:r>
      <w:rPr/>
      <w:tab/>
    </w:r>
  </w:p>
  <w:p>
    <w:pPr>
      <w:pStyle w:val="Brakstyluakapitowego"/>
      <w:tabs>
        <w:tab w:val="clear" w:pos="709"/>
        <w:tab w:val="right" w:pos="14572" w:leader="none"/>
      </w:tabs>
      <w:suppressAutoHyphens w:val="true"/>
      <w:ind w:hanging="340" w:left="907"/>
      <w:jc w:val="both"/>
      <w:rPr>
        <w:rFonts w:ascii="Calibri" w:hAnsi="Calibri" w:cs="Calibri" w:asciiTheme="minorHAnsi" w:cstheme="minorHAnsi" w:hAnsiTheme="minorHAnsi"/>
        <w:color w:themeColor="background1" w:val="FFFFFF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>
      <w:rPr>
        <w:rFonts w:cs="Calibri" w:ascii="Calibri" w:hAnsi="Calibri" w:asciiTheme="minorHAnsi" w:cstheme="minorHAnsi" w:hAnsiTheme="minorHAnsi"/>
        <w:color w:themeColor="background1" w:val="FFFFFF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Edukacja dla bezpieczeństwa | Klasa 8</w:t>
      <w:tab/>
      <w:t>Wymagania edukacyjne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9072"/>
        <w:tab w:val="center" w:pos="4536" w:leader="none"/>
      </w:tabs>
      <w:ind w:left="-1418"/>
      <w:rPr/>
    </w:pPr>
    <w:r>
      <w:rPr/>
    </w:r>
  </w:p>
  <w:p>
    <w:pPr>
      <w:pStyle w:val="Header"/>
      <w:tabs>
        <w:tab w:val="clear" w:pos="9072"/>
        <w:tab w:val="center" w:pos="4536" w:leader="none"/>
      </w:tabs>
      <w:ind w:left="-1418"/>
      <w:rPr/>
    </w:pPr>
    <w:r>
      <w:rPr/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-725805</wp:posOffset>
          </wp:positionH>
          <wp:positionV relativeFrom="paragraph">
            <wp:posOffset>219710</wp:posOffset>
          </wp:positionV>
          <wp:extent cx="10678160" cy="396240"/>
          <wp:effectExtent l="0" t="0" r="0" b="0"/>
          <wp:wrapNone/>
          <wp:docPr id="2" name="Obraz 2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78160" cy="396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4536"/>
        <w:tab w:val="clear" w:pos="9072"/>
        <w:tab w:val="left" w:pos="5591" w:leader="none"/>
      </w:tabs>
      <w:ind w:left="-1418"/>
      <w:rPr/>
    </w:pPr>
    <w:r>
      <w:rPr/>
      <w:tab/>
    </w:r>
  </w:p>
  <w:p>
    <w:pPr>
      <w:pStyle w:val="Brakstyluakapitowego"/>
      <w:tabs>
        <w:tab w:val="clear" w:pos="709"/>
        <w:tab w:val="right" w:pos="14572" w:leader="none"/>
      </w:tabs>
      <w:suppressAutoHyphens w:val="true"/>
      <w:ind w:hanging="340" w:left="907"/>
      <w:jc w:val="both"/>
      <w:rPr>
        <w:rFonts w:ascii="Calibri" w:hAnsi="Calibri" w:cs="Calibri" w:asciiTheme="minorHAnsi" w:cstheme="minorHAnsi" w:hAnsiTheme="minorHAnsi"/>
        <w:color w:themeColor="background1" w:val="FFFFFF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>
      <w:rPr>
        <w:rFonts w:cs="Calibri" w:ascii="Calibri" w:hAnsi="Calibri" w:asciiTheme="minorHAnsi" w:cstheme="minorHAnsi" w:hAnsiTheme="minorHAnsi"/>
        <w:color w:themeColor="background1" w:val="FFFFFF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Edukacja dla bezpieczeństwa | Klasa 8</w:t>
      <w:tab/>
      <w:t>Wymagania edukacyjne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►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FFC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►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FFC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►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FFC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►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FFC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►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FFC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►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FFC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►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FFC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►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FFC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►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FFC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►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FFC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►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FFC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►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FFC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►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FFC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►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FFC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►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FFC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►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FFC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►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FFC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►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FFC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bullet"/>
      <w:lvlText w:val="►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FFC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bullet"/>
      <w:lvlText w:val="►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FFC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►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FFC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bullet"/>
      <w:lvlText w:val="►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FFC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lvl w:ilvl="0">
      <w:start w:val="1"/>
      <w:numFmt w:val="bullet"/>
      <w:lvlText w:val="►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FFC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lvl w:ilvl="0">
      <w:start w:val="1"/>
      <w:numFmt w:val="bullet"/>
      <w:lvlText w:val="►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FFC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f35e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285d6f"/>
    <w:rPr/>
  </w:style>
  <w:style w:type="character" w:styleId="StopkaZnak" w:customStyle="1">
    <w:name w:val="Stopka Znak"/>
    <w:basedOn w:val="DefaultParagraphFont"/>
    <w:uiPriority w:val="99"/>
    <w:qFormat/>
    <w:rsid w:val="00285d6f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285d6f"/>
    <w:rPr>
      <w:rFonts w:ascii="Tahoma" w:hAnsi="Tahoma" w:cs="Tahoma"/>
      <w:sz w:val="16"/>
      <w:szCs w:val="16"/>
    </w:rPr>
  </w:style>
  <w:style w:type="character" w:styleId="B" w:customStyle="1">
    <w:name w:val="B"/>
    <w:uiPriority w:val="99"/>
    <w:qFormat/>
    <w:rsid w:val="003b56fb"/>
    <w:rPr>
      <w:b/>
      <w:bCs/>
    </w:rPr>
  </w:style>
  <w:style w:type="character" w:styleId="CondensedItalic" w:customStyle="1">
    <w:name w:val="Condensed Italic"/>
    <w:uiPriority w:val="99"/>
    <w:qFormat/>
    <w:rsid w:val="003b56fb"/>
    <w:rPr>
      <w:i/>
      <w:iCs/>
    </w:rPr>
  </w:style>
  <w:style w:type="character" w:styleId="Apple-converted-space" w:customStyle="1">
    <w:name w:val="apple-converted-space"/>
    <w:qFormat/>
    <w:rsid w:val="002f35e5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285d6f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285d6f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85d6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5810"/>
    <w:pPr>
      <w:spacing w:before="0" w:after="200"/>
      <w:ind w:left="720"/>
      <w:contextualSpacing/>
    </w:pPr>
    <w:rPr/>
  </w:style>
  <w:style w:type="paragraph" w:styleId="Brakstyluakapitowego" w:customStyle="1">
    <w:name w:val="[Brak stylu akapitowego]"/>
    <w:qFormat/>
    <w:rsid w:val="003b56fb"/>
    <w:pPr>
      <w:widowControl/>
      <w:bidi w:val="0"/>
      <w:spacing w:lineRule="auto" w:line="288" w:before="0" w:after="0"/>
      <w:jc w:val="left"/>
      <w:textAlignment w:val="center"/>
    </w:pPr>
    <w:rPr>
      <w:rFonts w:ascii="Minion Pro" w:hAnsi="Minion Pro" w:cs="Minion Pro" w:eastAsia="Calibri"/>
      <w:color w:val="000000"/>
      <w:kern w:val="0"/>
      <w:sz w:val="24"/>
      <w:szCs w:val="24"/>
      <w:lang w:val="pl-PL" w:eastAsia="en-US" w:bidi="ar-SA"/>
    </w:rPr>
  </w:style>
  <w:style w:type="paragraph" w:styleId="PLATabelatytuTABELE" w:customStyle="1">
    <w:name w:val="PLA Tabela tytuł (TABELE)"/>
    <w:basedOn w:val="Brakstyluakapitowego"/>
    <w:uiPriority w:val="99"/>
    <w:qFormat/>
    <w:rsid w:val="003b56fb"/>
    <w:pPr>
      <w:suppressAutoHyphens w:val="true"/>
      <w:spacing w:lineRule="atLeast" w:line="340" w:before="0" w:after="57"/>
      <w:jc w:val="center"/>
    </w:pPr>
    <w:rPr>
      <w:rFonts w:ascii="AgendaPl Bold" w:hAnsi="AgendaPl Bold" w:cs="AgendaPl Bold"/>
      <w:b/>
      <w:bCs/>
      <w:color w:val="004CFF"/>
      <w:sz w:val="30"/>
      <w:szCs w:val="30"/>
      <w:vertAlign w:val="superscript"/>
    </w:rPr>
  </w:style>
  <w:style w:type="paragraph" w:styleId="PLATabelatekstTABELE" w:customStyle="1">
    <w:name w:val="PLA Tabela tekst (TABELE)"/>
    <w:basedOn w:val="Brakstyluakapitowego"/>
    <w:uiPriority w:val="99"/>
    <w:qFormat/>
    <w:rsid w:val="003b56fb"/>
    <w:pPr>
      <w:tabs>
        <w:tab w:val="clear" w:pos="709"/>
        <w:tab w:val="left" w:pos="170" w:leader="none"/>
      </w:tabs>
      <w:spacing w:lineRule="atLeast" w:line="230"/>
    </w:pPr>
    <w:rPr>
      <w:rFonts w:ascii="AgendaPl RegularCondensed" w:hAnsi="AgendaPl RegularCondensed" w:cs="AgendaPl RegularCondensed"/>
      <w:sz w:val="20"/>
      <w:szCs w:val="20"/>
    </w:rPr>
  </w:style>
  <w:style w:type="paragraph" w:styleId="PLATabelagwkaTABELE" w:customStyle="1">
    <w:name w:val="PLA Tabela główka (TABELE)"/>
    <w:basedOn w:val="Brakstyluakapitowego"/>
    <w:uiPriority w:val="99"/>
    <w:qFormat/>
    <w:rsid w:val="003b56fb"/>
    <w:pPr>
      <w:spacing w:lineRule="atLeast" w:line="230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styleId="PLATabelkabezdzieleniaTABELE" w:customStyle="1">
    <w:name w:val="PLA Tabelka bez dzielenia (TABELE)"/>
    <w:basedOn w:val="PLATabelatekstTABELE"/>
    <w:uiPriority w:val="99"/>
    <w:qFormat/>
    <w:rsid w:val="003b56fb"/>
    <w:pPr>
      <w:suppressAutoHyphens w:val="true"/>
    </w:pPr>
    <w:rPr/>
  </w:style>
  <w:style w:type="paragraph" w:styleId="Tabelagwka" w:customStyle="1">
    <w:name w:val="Tabela główka"/>
    <w:basedOn w:val="Normal"/>
    <w:uiPriority w:val="99"/>
    <w:qFormat/>
    <w:rsid w:val="002f35e5"/>
    <w:pPr>
      <w:tabs>
        <w:tab w:val="clear" w:pos="709"/>
        <w:tab w:val="left" w:pos="227" w:leader="none"/>
      </w:tabs>
      <w:spacing w:lineRule="atLeast" w:line="220" w:before="0" w:after="0"/>
      <w:jc w:val="center"/>
      <w:textAlignment w:val="center"/>
    </w:pPr>
    <w:rPr>
      <w:rFonts w:ascii="Lato" w:hAnsi="Lato" w:cs="Lato"/>
      <w:b/>
      <w:bCs/>
      <w:color w:val="FFFFFF"/>
      <w:sz w:val="18"/>
      <w:szCs w:val="18"/>
      <w14:ligatures w14:val="standardContextual"/>
    </w:rPr>
  </w:style>
  <w:style w:type="paragraph" w:styleId="TabelatekstCENTERTabela" w:customStyle="1">
    <w:name w:val="Tabela_tekst_ CENTER (Tabela)"/>
    <w:basedOn w:val="Brakstyluakapitowego"/>
    <w:uiPriority w:val="99"/>
    <w:qFormat/>
    <w:rsid w:val="002f35e5"/>
    <w:pPr>
      <w:tabs>
        <w:tab w:val="clear" w:pos="709"/>
        <w:tab w:val="left" w:pos="0" w:leader="none"/>
      </w:tabs>
      <w:spacing w:lineRule="atLeast" w:line="220" w:before="0" w:after="85"/>
      <w:ind w:hanging="227" w:left="227"/>
      <w:jc w:val="center"/>
    </w:pPr>
    <w:rPr>
      <w:rFonts w:ascii="Lato" w:hAnsi="Lato" w:cs="Lato"/>
      <w:sz w:val="18"/>
      <w:szCs w:val="18"/>
      <w14:ligatures w14:val="standardContextual"/>
    </w:rPr>
  </w:style>
  <w:style w:type="paragraph" w:styleId="TabelatekstBEZWCIECIATabela" w:customStyle="1">
    <w:name w:val="Tabela_tekst_ BEZ WCIECIA (Tabela)"/>
    <w:basedOn w:val="Brakstyluakapitowego"/>
    <w:uiPriority w:val="99"/>
    <w:qFormat/>
    <w:rsid w:val="002f35e5"/>
    <w:pPr>
      <w:tabs>
        <w:tab w:val="clear" w:pos="709"/>
        <w:tab w:val="left" w:pos="0" w:leader="none"/>
      </w:tabs>
      <w:spacing w:lineRule="atLeast" w:line="220" w:before="0" w:after="85"/>
    </w:pPr>
    <w:rPr>
      <w:rFonts w:ascii="Lato" w:hAnsi="Lato" w:cs="Lato"/>
      <w:sz w:val="18"/>
      <w:szCs w:val="18"/>
      <w14:ligatures w14:val="standardContextual"/>
    </w:rPr>
  </w:style>
  <w:style w:type="paragraph" w:styleId="Akapitzlist3" w:customStyle="1">
    <w:name w:val="Akapit z listą3"/>
    <w:basedOn w:val="Normal"/>
    <w:qFormat/>
    <w:rsid w:val="002f35e5"/>
    <w:pPr>
      <w:ind w:left="720"/>
    </w:pPr>
    <w:rPr>
      <w:rFonts w:ascii="Calibri" w:hAnsi="Calibri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5DEB3-646D-4D37-ADB0-FBF74338A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LibreOffice/7.6.0.3$Windows_X86_64 LibreOffice_project/69edd8b8ebc41d00b4de3915dc82f8f0fc3b6265</Application>
  <AppVersion>15.0000</AppVersion>
  <Pages>6</Pages>
  <Words>2004</Words>
  <Characters>13008</Characters>
  <CharactersWithSpaces>14499</CharactersWithSpaces>
  <Paragraphs>295</Paragraphs>
  <Company>WSiP Sp. z o.o.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2024-04-04T08:35:00Z</dcterms:created>
  <dc:creator>Marta Jedlinska</dc:creator>
  <dc:description/>
  <dc:language>pl-PL</dc:language>
  <cp:lastModifiedBy>Anna Żułtowska</cp:lastModifiedBy>
  <dcterms:modified xsi:type="dcterms:W3CDTF">2024-08-16T14:02:00Z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