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0"/>
          <w:szCs w:val="30"/>
        </w:rPr>
      </w:pPr>
      <w:r>
        <w:rPr>
          <w:rFonts w:cs="Times New Roman" w:ascii="Times New Roman" w:hAnsi="Times New Roman"/>
          <w:b/>
          <w:bCs/>
          <w:sz w:val="30"/>
          <w:szCs w:val="30"/>
        </w:rPr>
        <w:t>PROGRAM WYCHOWAWCZO-PROFILAKTYCZNY</w:t>
      </w:r>
    </w:p>
    <w:p>
      <w:pPr>
        <w:pStyle w:val="Normal"/>
        <w:jc w:val="center"/>
        <w:rPr>
          <w:sz w:val="30"/>
          <w:szCs w:val="30"/>
        </w:rPr>
      </w:pPr>
      <w:r>
        <w:rPr>
          <w:rFonts w:cs="Times New Roman" w:ascii="Times New Roman" w:hAnsi="Times New Roman"/>
          <w:b/>
          <w:bCs/>
          <w:sz w:val="30"/>
          <w:szCs w:val="30"/>
        </w:rPr>
        <w:t>SZKOŁY PODSTAWOWEJ nr 1</w:t>
      </w:r>
    </w:p>
    <w:p>
      <w:pPr>
        <w:pStyle w:val="Normal"/>
        <w:jc w:val="center"/>
        <w:rPr>
          <w:sz w:val="30"/>
          <w:szCs w:val="30"/>
        </w:rPr>
      </w:pPr>
      <w:r>
        <w:rPr>
          <w:rFonts w:cs="Times New Roman" w:ascii="Times New Roman" w:hAnsi="Times New Roman"/>
          <w:b/>
          <w:bCs/>
          <w:sz w:val="30"/>
          <w:szCs w:val="30"/>
        </w:rPr>
        <w:t>im. LOTNIKÓW POLSKICH W PODDĘBICACH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Szkoła Podstawowa nr 1 im. Lotników Polskich w Poddębicach jest szkołą, której główne zadanie oddają słowa wypisane na sztandarze: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NAUKA, WYCHOWANIE, PROFILAKTYKA i PAMIĘĆ</w:t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1. Wprowadzenie</w:t>
      </w:r>
    </w:p>
    <w:p>
      <w:pPr>
        <w:pStyle w:val="Normal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Program Wychowawczo-Profilaktyczny na rok szkolny 2026/2027 określa najważniejsze cele, kierunki i sposoby prowadzenia działalności wychowawczej </w:t>
        <w:br/>
        <w:t>i profilaktycznej szkoły.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Program uwzględnia potrzeby rozwojowe uczniów, specyfikę środowiska szkolnego, wyniki przeprowadzonej diagnozy, obowiązujące przepisy prawa oświatowego, kierunki realizacji polityki oświatowej państwa oraz zmiany związane z wdrażaniem Reformy26. Kompas Jutra.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Punktem wyjścia jest traktowanie ucznia jako aktywnego uczestnika procesu edukacyjnego, który rozwija wiedzę, kompetencje, relacje społeczne, odpowiedzialność </w:t>
        <w:br/>
        <w:t>i samodzielność w bezpiecznym oraz wspierającym środowisku. Szkoła wspiera wychowawczą funkcję rodziny i dąży do budowania spójności oddziaływań podejmowanych przez nauczycieli, wychowawców, specjalistów i rodziców.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Działania wychowawczo-profilaktyczne obejmują całą społeczność szkolną </w:t>
        <w:br/>
        <w:t>i uwzględniają zarówno wzmacnianie zasobów oraz czynników chroniących, jak i ograniczanie wpływu czynników ryzyka.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Podstawą działań wychowawczych są uniwersalne wartości ogólnoludzkie, a w szczególności łacińska maksyma, związana z patronem szkoły: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PER ASPERA AD ASTRA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Szczególne znaczenie w roku szkolnym 2026/2027 mają: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tworzenie szkoły wymagającej, wspierającej i przyjaznej rozwojowi ucznia,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wspieranie dobrostanu i zdrowia psychicznego,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odporności psychicznej i społecznej,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budowanie bezpiecznych relacji,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przeciwdziałanie przemocy rówieśniczej,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profilaktyka uzależnień behawioralnych,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promowanie zdrowego stylu życia i aktywności fizycznej,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kształtowanie higieny cyfrowej, bycia off-line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krytycznego myślenia,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przygotowanie uczniów do odpowiedzialnego korzystania ze sztucznej inteligencji,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postaw patriotycznych, obywatelskich i prospołecznych,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rozpoznawanie potrzeb uczniów z uwzględnieniem ich funkcjonowania w środowisku szkolnym,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wzmacnianie współpracy z rodzicami,</w:t>
      </w:r>
    </w:p>
    <w:p>
      <w:pPr>
        <w:pStyle w:val="ListParagraph"/>
        <w:numPr>
          <w:ilvl w:val="0"/>
          <w:numId w:val="1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ciekawości, aktywności poznawczej, współpracy i sprawczości uczniów.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2. Podstawa prawna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Program opracowano z uwzględnieniem obowiązujących przepisów prawa, w szczególności: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Konstytucji Rzeczypospolitej Polskiej;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Konwencji o Prawach Dziecka;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ustawy z dnia 14 grudnia 2016 r. – Prawo oświatowe;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ustawy z dnia 26 stycznia 1982 r. – Karta Nauczyciela;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ustawy z dnia 7 września 1991 r. o systemie oświaty;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ustawy z dnia 26 października 1982 r. o wychowaniu w trzeźwości i przeciwdziałaniu alkoholizmowi;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ustawy z dnia 29 lipca 2005 r. o przeciwdziałaniu narkomanii;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ustawy z dnia 9 listopada 1995 r. o ochronie zdrowia przed następstwami używania tytoniu i wyrobów tytoniowych;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ustawy z dnia 9 czerwca 2022 r. o wspieraniu i resocjalizacji nieletnich;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ustawy z dnia 13 maja 2016 r. o przeciwdziałaniu zagrożeniom przestępczością na tle seksualnym i ochronie małoletnich;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przepisów dotyczących bezpieczeństwa i higieny w publicznych i niepublicznych szkołach i placówkach;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przepisów dotyczących działalności wychowawczej, edukacyjnej, informacyjnej i profilaktycznej prowadzonej w szkołach;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właściwych dla danego typu szkoły przepisów dotyczących podstawy programowej;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Rozporządzenia Ministra Edukacji z dnia 11 marca 2026 r. w sprawie podstawy programowej wychowania przedszkolnego oraz podstawy programowej kształcenia ogólnego dla szkoły podstawowej, w tym dla uczniów z niepełnosprawnością intelektualną w stopniu umiarkowanym lub znacznym – w zakresie dotyczącym klas objętych nową podstawą programową od 1 września 2026 r.;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podstawowych kierunków realizacji polityki oświatowej państwa w roku szkolnym 2026/2027;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Statutu Szkoły;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Standardów Ochrony Małoletnich obowiązujących w Szkole </w:t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3. Powiązanie programu z kierunkami polityki oświatowej państwa 2026/2027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W roku szkolnym 2026/2027 działania wychowawczo-profilaktyczne szkoły uwzględniają następujące priorytety: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1. Wdrażanie Reformy26. Kompas Jutra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służą wspieraniu uczniów w procesie zmian edukacyjnych, rozwijaniu samodzielności, sprawczości, współpracy, kompetencji przekrojowych oraz aktywnego uczenia się.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2. Budowanie odporności społecznej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Szkoła rozwija odpowiedzialność za siebie i innych, postawy patriotyczne, obywatelskie </w:t>
        <w:br/>
        <w:t>i prospołeczne oraz przygotowuje uczniów do właściwego reagowania w sytuacjach zagrożenia.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3. Edukacja zdrowotna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obejmują promocję zdrowia fizycznego, psychicznego i społecznego, aktywność ruchową, odpowiedzialne zachowania prozdrowotne oraz umiejętności udzielania pierwszej pomocy.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4. Higiena cyfrowa i bezpieczeństwo w sieci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Szkoła rozwija odpowiedzialne korzystanie z urządzeń cyfrowych, krytyczną analizę informacji, umiejętność rozpoznawania zagrożeń, równowagę online–offline oraz świadome </w:t>
        <w:br/>
        <w:t>i etyczne wykorzystywanie sztucznej inteligencji.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5. Rozpoznawanie potrzeb uczniów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Planowanie wsparcia uwzględnia funkcjonowanie ucznia w środowisku szkolnym, jego mocne strony, bariery, potrzeby oraz współpracę szkoły z rodziną.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6. Zdrowie psychiczne, przeciwdziałanie przemocy i uzależnieniom behawioralnym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Szkoła podejmuje działania przeciwdziałające przemocy rówieśniczej, cyberprzemocy </w:t>
        <w:br/>
        <w:t>i zachowaniom nałogowym oraz zapewnia wsparcie uczniom doświadczającym kryzysu.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7. Świadome decyzje edukacyjno-zawodowe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Uczniowie są wspierani w poznawaniu własnych możliwości, zainteresowań i predyspozycji oraz w podejmowaniu decyzji dotyczących dalszej drogi kształcenia.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8. Ciekawość i aktywność poznawcza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Szkoła wspiera uczenie się poprzez doświadczenie, współpracę, projekty interdyscyplinarne, informację zwrotną oraz świadome uczestnictwo ucznia w procesie uczenia się.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4. Diagnoza sytuacji wychowawczej i profilaktycznej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Program został przygotowany w oparciu o diagnozę potrzeb rozwojowych uczniów, zasobów środowiska szkolnego, czynników chroniących oraz czynników ryzyka.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Diagnoza jest punktem wyjścia do planowania działań. Jej celem nie jest jedynie wskazywanie problemów, ale również rozpoznanie potencjału uczniów i społeczności szkolnej.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Źródła informacji wykorzystywane w diagnozie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diagnozie uwzględniono lub można uwzględnić: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wyniki ankiet przeprowadzonych wśród uczniów;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wyniki ankiet dla rodziców;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wyniki ankiet i konsultacji nauczycieli;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obserwację funkcjonowania uczniów;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analizę relacji rówieśniczych;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rozmowy z uczniami;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rozmowy i konsultacje z rodzicami;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analizę frekwencji;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analizę wyników nauczania;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analizę sytuacji wychowawczych i interwencji;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dokumentację specjalistów szkolnych;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informacje nauczycieli i wychowawców;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wnioski zespołów nauczycielskich;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wyniki nadzoru pedagogicznego;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wyniki ewaluacji programu realizowanego w poprzednim roku;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informacje dotyczące bezpieczeństwa na terenie szkoły;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opinie samorządu uczniowskiego;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informacje uzyskane od instytucji współpracujących ze szkołą.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5. Diagnoza czynników chroniących i czynników ryzyka</w:t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Czynniki chroniące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czynników, które mogą ograniczać prawdopodobieństwo wystąpienia zachowań problemowych i wspierać prawidłowy rozwój uczniów, należą w szczególności: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dobre relacje z rodzicami i innymi znaczącymi osobami dorosłymi;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szacunek do drugiego człowieka;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poczucie bezpieczeństwa;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poczucie przynależności do klasy i szkoły;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możliwość uzyskania pomocy;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pozytywne relacje rówieśnicze;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zainteresowania i pasje;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aktywność i ciekawość poznawcza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aktywność sportowa i społeczna;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zdrowie fizyczne i psychiczne;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umiejętność rozpoznawania emocji;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kompetencje komunikacyjne;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poczucie własnej wartości;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poczucie sprawczości;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realistyczna samoocena;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umiejętność radzenia sobie z trudnościami;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jasne normy i zasady;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konstruktywne sposoby spędzania czasu wolnego;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dobra współpraca rodziny ze szkołą;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wspieranie dziecka w trudnych sytuacjach;</w:t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dostęp do pomocy psychologiczno-pedagogicznej.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Czynniki ryzyka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czynników wymagających szczególnej uwagi mogą należeć: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osłabione relacje rówieśnicze;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brak poczucia bezpieczeństwa;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trudności emocjonalne;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poczucie osamotnienia;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niska samoocena;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przewlekły stres;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nadmierne korzystanie z urządzeń cyfrowych;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zaburzenie równowagi między aktywnością online i offline;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cyberprzemoc;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przemoc rówieśnicza;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doświadczenie odrzucenia lub wykluczenia;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zachowania dysfunkcyjne grupy rówieśniczej; 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zachowania agresywne;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trudności rodzinne;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absencja szkolna;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spadek motywacji;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zachowania ryzykowne;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kontakt z substancjami psychoaktywnymi;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zachowania wskazujące na uzależnienia behawioralne;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trudności adaptacyjne;</w:t>
      </w:r>
    </w:p>
    <w:p>
      <w:pPr>
        <w:pStyle w:val="ListParagraph"/>
        <w:numPr>
          <w:ilvl w:val="0"/>
          <w:numId w:val="3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nierozpoznane lub niewystarczająco zaspokojone potrzeby rozwojowe.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Czynniki chroniące rozpoznane w szkole: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aktywność i ciekawość poznawcza, szacunek dla drugiego człowieka, wspieranie dziecka w trudnych sytuacjach, zdrowie fizyczne i psychiczne, rodzina, przyjaźń, prawda, poczucie bezpieczeństwa znacznej części uczniów, umiejętność komunikowania problemów, świadomość znaczenia zdrowego stylu życia, znajomość zagrożeń związanych z uzależnieniami, aktywność fizyczna i różnorodne zainteresowania uczniów, możliwość korzystania z pomocy osób dorosłych w szkole,</w:t>
      </w:r>
    </w:p>
    <w:p>
      <w:pPr>
        <w:pStyle w:val="Normal"/>
        <w:rPr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Czynniki ryzyka rozpoznane w szkole: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brak poczucia bezpieczeństwa, wczesny kontakt z używkami, zachowania dysfunkcyjne grupy rówieśniczej, presja rówieśnicza, ryzyko kontaktu z substancjami psychoaktywnymi, niewystarczająca oferta spędzania czasu wolnego poza szkołą, niewystarczające umiejętności radzenia sobie ze stresem, sytuacjami kryzysowymi i konfliktami,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  <w:u w:val="non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none"/>
        </w:rPr>
        <w:t>6. Priorytetowe potrzeby szkoły w roku 2026/2027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diagnozy ustalono następujące priorytety: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Systematyczne przeciwdziałanie przemocy rówieśniczej, agresji i cyberprzemocy.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Rozwijanie umiejętności radzenia sobie ze stresem , emocjami sytuacjami kryzysowymi.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Bezpieczne i odpowiedzialne korzystanie z technologii, aktywność offline oraz krytyczne myślenie, w tym wobec treści generowanych przez AI.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Wzmacnianie zdrowych nawyków, aktywności fizycznej i działań zapobiegających uzależnieniom, w tym behawioralnym.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Zwiększenie świadomości uczniów i rodziców dotyczącej systemu pomocy psychologiczno-pedagogicznej oraz wzmocnienie współpracy szkoły z rodzicami.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6. Rozwijanie poczucia przynależności, wpływu i odpowiedzialności uczniów za wspólnotę szkolną.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 Kształtowanie postaw prospołecznych, obywatelskich i patriotycznych oraz odpowiedzialności za bezpieczeństwo własne i innych.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8. Rozwijanie zainteresowań, ciekawości poznawczej i aktywności uczniów.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9. Wspieranie świadomego planowania przyszłości edukacyjnej i zdrowotnej.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7. Misja szkoły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Misją szkoły jest tworzenie środowiska, w którym uczeń rozwija wiedzę, umiejętności, relacje i własny potencjał, jednocześnie ucząc się odpowiedzialności za siebie, innych ludzi </w:t>
        <w:br/>
        <w:t>i otoczenie.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Szkoła dąży do budowania kultury opartej na: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szacunku,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bezpieczeństwie,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zaufaniu,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odpowiedzialności,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współpracy,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sprawczości,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uczciwości,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otwartości,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empatii,</w:t>
      </w:r>
    </w:p>
    <w:p>
      <w:pPr>
        <w:pStyle w:val="ListParagraph"/>
        <w:numPr>
          <w:ilvl w:val="0"/>
          <w:numId w:val="4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poszanowaniu różnorodności.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Szkoła jest miejscem stawiającym wymagania adekwatne do możliwości ucznia, </w:t>
        <w:br/>
        <w:t>ale jednocześnie zapewniającym pomoc w pokonywaniu trudności.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8. Sylwetka absolwenta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Absolwent szkoły: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siebie i rozwija swój potencjał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rozpoznaje swoje mocne strony;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określać cele;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podejmuje odpowiedzialność za własny rozwój;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korzystać z informacji zwrotnej;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 zainteresowania;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dostrzega własne postępy;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podejmuje próby mimo trudności.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funkcjonować z innymi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respektuje prawa i granice innych osób;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komunikuje własne potrzeby;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współpracować;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podejmuje dialog;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konstruktywnie rozwiązuje konflikty;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okazuje empatię;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reaguje na krzywdzenie;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 pozostaje obojętny na wykluczenie innych.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dba o zdrowie i bezpieczeństwo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zasady zdrowego stylu życia;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rozumie znaczenie ruchu, snu, odpoczynku i odżywiania;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znaczenie zdrowia psychicznego;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rozpoznaje sytuacje wymagające wsparcia;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wie, gdzie szukać pomocy;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podstawowe zasady udzielania pierwszej pomocy;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podejmuje odpowiedzialne decyzje dotyczące zdrowia.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funkcjonuje bezpiecznie w środowisku cyfrowym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chroni swoją prywatność;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krytycznie analizuje informacje;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rozpoznawać manipulację i dezinformację;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konsekwencje publikowania treści;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respektuje zasady komunikacji internetowej;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zachować równowagę online–offline;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korzysta z narzędzi AI w sposób odpowiedzialny, krytyczny i etyczny.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jest świadomym członkiem społeczeństwa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swoje prawa i obowiązki;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jest odpowiedzialny za swoje decyzje;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rozumie znaczenie wspólnoty;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szanuje dziedzictwo narodowe i regionalne;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wykazuje postawę obywatelską;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angażuje się w działania społeczne;</w:t>
      </w:r>
    </w:p>
    <w:p>
      <w:pPr>
        <w:pStyle w:val="ListParagraph"/>
        <w:numPr>
          <w:ilvl w:val="0"/>
          <w:numId w:val="5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szanuje środowisko naturalne.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9. Cele główne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Wspieranie wszechstronnego rozwoju ucznia.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Budowanie bezpieczeństwa fizycznego i psychicznego.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Wzmacnianie zdrowia psychicznego.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kompetencji społecznych i emocjonalnych.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Budowanie poczucia sprawczości.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odporności psychicznej i społecznej.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Zapobieganie przemocy.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Zapobieganie uzależnieniom od substancji i zachowań.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Promowanie zdrowego stylu życia.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higieny cyfrowej.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krytycznego myślenia.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Kształtowanie odpowiedzialnego korzystania z AI.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postaw obywatelskich, patriotycznych i prospołecznych.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Zapewnienie adekwatnego wsparcia uczniom o zróżnicowanych potrzebach.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Wspieranie rodziny w realizacji funkcji wychowawczej.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aktywności poznawczej i samodzielności ucznia.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Przygotowanie do świadomego planowania dalszej edukacji i kariery.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10. Obszary działań wychowawczych i profilaktycznych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Obszar I. Dobrostan i zdrowie psychiczne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Cele: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wzmacnianie poczucia bezpieczeństwa;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świadomości emocjonalnej;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umiejętności radzenia sobie ze stresem;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budowanie odporności psychicznej;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przeciwdziałanie izolacji i osamotnieniu;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umiejętności proszenia o pomoc.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Przykładowe działania: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zajęcia poświęcone emocjom;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ćwiczenia rozwijające umiejętność samoregulacji;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integracyjne;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konsultacje z pedagogiem i psychologiem;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związane ze Światowym Dniem Zdrowia Psychicznego;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popularyzowanie wiedzy o dostępnych formach pomocy;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zapewnianie uczniom przestrzeni do rozmowy;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interwencyjne w przypadku kryzysów.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11. Obszar II. Bezpieczne relacje i przeciwdziałanie przemocy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Cele: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empatii;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wzmacnianie norm przeciwnych przemocy;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uczenie konstruktywnego reagowania na konflikt;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zwiększanie odpowiedzialności świadków przemocy;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przeciwdziałanie wykluczeniu.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zajęcia dotyczące komunikacji;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tworzenie klasowych zasad współpracy;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mediacje i rozmowy wspierające;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edukacja dotycząca przemocy relacyjnej;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przeciwdziałanie cyberprzemocy;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przypominanie zasad wynikających ze Standardów Ochrony Małoletnich;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wskazywanie uczniom sposobów zgłaszania niepokojących sytuacji.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12. Obszar III. Edukacja zdrowotna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obejmują: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zdrowie fizyczne;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zdrowie psychiczne;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zdrowe żywienie;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aktywność fizyczną;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sen i regenerację;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higienę osobistą;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profilaktykę chorób;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zachowania prozdrowotne;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umiejętność uzyskania pomocy;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pierwszą pomoc.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Uczeń powinien rozumieć, że zdrowie obejmuje wzajemnie powiązane obszary funkcjonowania człowieka i wymaga codziennych, świadomych decyzji.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13. Obszar IV. Higiena cyfrowa i sztuczna inteligencja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Cele: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kształtowanie odpowiedzialnych nawyków cyfrowych;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zapobieganie nadmiernemu korzystaniu z urządzeń;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promowanie aktywności offline;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przeciwdziałanie cyberprzemocy;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krytycznej analizy treści;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uczenie bezpiecznego korzystania z AI.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zajęcia poświęcone higienie cyfrowej;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analiza czasu spędzanego przed ekranami;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promowanie aktywności bez telefonu;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warsztaty dotyczące dezinformacji;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uczenie weryfikacji źródeł;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rozmowy o odpowiedzialności za treści generowane przez AI;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uczenie rozróżniania pracy własnej od treści generowanej automatycznie;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omawianie zasad ochrony prywatności i danych.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14. Obszar V. Profilaktyka uzależnień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Profilaktyka obejmuje zagrożenia związane z: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alkoholem;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nikotyną i wyrobami nikotynowymi;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narkotykami;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nowymi substancjami psychoaktywnymi;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niewłaściwym używaniem leków;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grami cyfrowymi;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mediami społecznościowymi;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hazardem;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innymi zachowaniami mogącymi nabierać charakteru nałogowego.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Szkoła stosuje działania odpowiednie do wieku uczniów oraz poziomu rozpoznanego ryzyka.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15. Obszar VI. Ocena funkcjonowania ucznia i edukacja włączająca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Wsparcie ucznia powinno być planowane z uwzględnieniem jego codziennego funkcjonowania, a nie wyłącznie formalnego rozpoznania czy diagnozy.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procesie rozpoznawania potrzeb uwzględnia się: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mocne strony ucznia;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zainteresowania;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sposób uczenia się;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relacje społeczne;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funkcjonowanie emocjonalne;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komunikowanie potrzeb;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samodzielność;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aktywność podczas zajęć;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bariery utrudniające uczestnictwo;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czynniki środowiskowe;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dostępne zasoby i możliwe formy wsparcia.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Kluczowe znaczenie ma współpraca nauczycieli, specjalistów i rodziców.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16. Obszar VII. Postawy obywatelskie, patriotyczne i prospołeczne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obejmują: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poznawanie historii Polski i własnego regionu;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uczestnictwo w uroczystościach państwowych;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poznawanie znaczenia symboli narodowych;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samorządności;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wolontariat;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na rzecz lokalnej społeczności;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kształtowanie odpowiedzialności za wspólne dobro;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przygotowanie do funkcjonowania w społeczeństwie obywatelskim;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rozwijanie szacunku dla prawa i zasad demokratycznego współżycia.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17. Obszar VIII. Aktywność ucznia, ciekawość i sprawczość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Szkoła wspiera: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samodzielne zadawanie pytań;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poszukiwanie rozwiązań;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pracę projektową;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współpracę;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łączenie wiedzy z różnych dziedzin;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uczenie się poprzez doświadczenie;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prezentowanie efektów pracy;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dokonywanie samooceny;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korzystanie z informacji zwrotnej;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podejmowanie przez uczniów inicjatyw.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18. Obszar IX. Orientacja edukacyjna i zawodowa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mają pomóc uczniom: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rozpoznawać zainteresowania;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poznawać predyspozycje;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identyfikować mocne strony;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poznawać zawody;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rozumieć zmieniający się rynek pracy;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poznawać dostępne ścieżki edukacyjne;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podejmować możliwie świadome decyzje dotyczące przyszłości.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19. Zadania dyrektora szkoły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Dyrektor: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tworzy warunki do realizacji programu;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organizuje proces diagnozowania potrzeb;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 współpracę nauczycieli i specjalistów;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zapewnia warunki udzielania pomocy psychologiczno-pedagogicznej;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monitoruje bezpieczeństwo uczniów;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nadzoruje stosowanie procedur;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 wdrażanie zmian wynikających z Reformy26;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inicjuje doskonalenie nauczycieli;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współpracuje z Radą Rodziców;</w:t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 współpracę z instytucjami zewnętrznymi;</w:t>
      </w:r>
    </w:p>
    <w:p>
      <w:pPr>
        <w:pStyle w:val="ListParagraph"/>
        <w:numPr>
          <w:ilvl w:val="0"/>
          <w:numId w:val="6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uwzględnia wnioski z realizacji programu w nadzorze pedagogicznym.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20. Zadania nauczycieli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Nauczyciele: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współtworzą bezpieczne środowisko;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obserwują funkcjonowanie uczniów;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rozpoznają mocne strony i potrzeby;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wzmacniają aktywność uczniów;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rozwijają samodzielność;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stosują informację zwrotną wspierającą uczenie się;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reagują na przemoc i inne zagrożenia;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współpracują z rodzicami;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zgłaszają specjalistom zauważone trudności;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realizują treści profilaktyczne odpowiednie dla swojego przedmiotu;</w:t>
      </w:r>
    </w:p>
    <w:p>
      <w:pPr>
        <w:pStyle w:val="ListParagraph"/>
        <w:numPr>
          <w:ilvl w:val="0"/>
          <w:numId w:val="7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modelują właściwe relacje i kulturę komunikacji.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21. Zadania wychowawcy klasy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Wychowawca: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diagnozuje potrzeby zespołu klasowego;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buduje klimat współpracy;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integruje klasę;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prowadzi zajęcia wychowawcze;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monitoruje sytuację uczniów;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współpracuje z rodzicami;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reaguje na niepokojące zmiany;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współpracuje z pedagogiem i psychologiem;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koordynuje pomoc w przypadku trudności;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 uczniowskie inicjatywy;</w:t>
      </w:r>
    </w:p>
    <w:p>
      <w:pPr>
        <w:pStyle w:val="ListParagraph"/>
        <w:numPr>
          <w:ilvl w:val="0"/>
          <w:numId w:val="8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 odpowiedzialność i samorządność uczniów.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22. Zadania pedagoga, psychologa i innych specjalistów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Specjaliści: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uczestniczą w rozpoznawaniu potrzeb uczniów;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prowadzą konsultacje;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wspierają nauczycieli;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udzielają pomocy uczniom;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prowadzą działania profilaktyczne;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wspierają rodziców;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uczestniczą w interwencji kryzysowej;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współpracują z instytucjami specjalistycznymi;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uczestniczą w planowaniu wsparcia;</w:t>
      </w:r>
    </w:p>
    <w:p>
      <w:pPr>
        <w:pStyle w:val="ListParagraph"/>
        <w:numPr>
          <w:ilvl w:val="0"/>
          <w:numId w:val="9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prowadzą działania służące poprawie funkcjonowania ucznia w środowisku szkolnym.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23. Zadania rodziców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Rodzice:</w:t>
      </w:r>
    </w:p>
    <w:p>
      <w:pPr>
        <w:pStyle w:val="ListParagraph"/>
        <w:numPr>
          <w:ilvl w:val="0"/>
          <w:numId w:val="10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współpracują ze szkołą;</w:t>
      </w:r>
    </w:p>
    <w:p>
      <w:pPr>
        <w:pStyle w:val="ListParagraph"/>
        <w:numPr>
          <w:ilvl w:val="0"/>
          <w:numId w:val="10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uczestniczą w diagnozie potrzeb społeczności;</w:t>
      </w:r>
    </w:p>
    <w:p>
      <w:pPr>
        <w:pStyle w:val="ListParagraph"/>
        <w:numPr>
          <w:ilvl w:val="0"/>
          <w:numId w:val="10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przekazują istotne informacje dotyczące funkcjonowania dziecka;</w:t>
      </w:r>
    </w:p>
    <w:p>
      <w:pPr>
        <w:pStyle w:val="ListParagraph"/>
        <w:numPr>
          <w:ilvl w:val="0"/>
          <w:numId w:val="10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uczestniczą w konsultacjach;</w:t>
      </w:r>
    </w:p>
    <w:p>
      <w:pPr>
        <w:pStyle w:val="ListParagraph"/>
        <w:numPr>
          <w:ilvl w:val="0"/>
          <w:numId w:val="10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korzystają z proponowanych form wsparcia;</w:t>
      </w:r>
    </w:p>
    <w:p>
      <w:pPr>
        <w:pStyle w:val="ListParagraph"/>
        <w:numPr>
          <w:ilvl w:val="0"/>
          <w:numId w:val="10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współtworzą spójne oddziaływania wychowawcze;</w:t>
      </w:r>
    </w:p>
    <w:p>
      <w:pPr>
        <w:pStyle w:val="ListParagraph"/>
        <w:numPr>
          <w:ilvl w:val="0"/>
          <w:numId w:val="10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zgłaszają zagrożenia;</w:t>
      </w:r>
    </w:p>
    <w:p>
      <w:pPr>
        <w:pStyle w:val="ListParagraph"/>
        <w:numPr>
          <w:ilvl w:val="0"/>
          <w:numId w:val="10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wspierają dziecko w rozwijaniu zdrowych nawyków i odpowiedzialności.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24. Zadania samorządu uczniowskiego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Samorząd: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reprezentuje głos uczniów;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proponuje inicjatywy;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organizuje działania społeczne;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współtworzy wydarzenia szkolne;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wspiera integrację;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promuje wolontariat;</w:t>
      </w:r>
    </w:p>
    <w:p>
      <w:pPr>
        <w:pStyle w:val="ListParagraph"/>
        <w:numPr>
          <w:ilvl w:val="0"/>
          <w:numId w:val="11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angażuje się w działania dotyczące bezpieczeństwa i dobrostanu;</w:t>
      </w:r>
    </w:p>
    <w:p>
      <w:pPr>
        <w:pStyle w:val="ListParagraph"/>
        <w:numPr>
          <w:ilvl w:val="0"/>
          <w:numId w:val="11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 samorządność i odpowiedzialność uczniów.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25. Harmonogram działań na rok szkolny 2026/2027</w:t>
      </w:r>
    </w:p>
    <w:tbl>
      <w:tblPr>
        <w:tblStyle w:val="808"/>
        <w:tblW w:w="98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11"/>
        <w:gridCol w:w="2021"/>
        <w:gridCol w:w="2001"/>
        <w:gridCol w:w="1827"/>
        <w:gridCol w:w="1682"/>
      </w:tblGrid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>Priorytet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>Zadanie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>Sposób realizacji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>Odpowiedzialni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>Termin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Diagnoza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Rozpoznanie potrzeb uczniów oraz czynników chroniących i ryzyka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ankiety, obserwacja, analiza dokumentacji, rozmowy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wychowawcy, pedagog, psycholog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wrzesień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Adaptacja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Wspieranie uczniów rozpoczynających naukę lub zmieniających etap edukacyjny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 integracyjne, wsparcie indywidualne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wrzesień–październik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Reforma26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Wspieranie uczniów klas objętych nową podstawą programową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działania adaptacyjne, projekty, aktywizujące sposoby pracy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 klas I i IV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Bezpieczeństwo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Zapoznanie z zasadami obowiązującymi w szkole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zajęcia, ćwiczenia, rozmowy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wrzesień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Ochrona małoletnich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Przypomnienie praw, granic i sposobów uzyskania pomocy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 dostosowane do wieku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wychowawcy, specjaliści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wrzesień i 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Relacje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Budowanie dobrych relacji w klasie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 integracyjne, projekty zespołowe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Przemoc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Przeciwdziałanie przemocy rówieśniczej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 profilaktyczne, interwencje, mediacje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pedagog, psycholog, wychowawcy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Zdrowie psychiczne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Rozwijanie umiejętności dbania o dobrostan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warsztaty, rozmowy, konsultacje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specjaliści szkolni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Emocje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Rozwijanie samoregulacji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ćwiczenia, zajęcia wychowawcze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wychowawcy, specjaliści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Uzależnienia behawioralne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Profilaktyka nadmiernego korzystania z technologii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 i warsztaty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wychowawcy, specjaliści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Higiena cyfrowa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Rozwijanie równowagi online–offline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akcje, zajęcia, wyzwania offline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nauczyciele, wychowawcy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AI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Kształtowanie odpowiedzialnego korzystania ze sztucznej inteligencji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zajęcia, analiza przykładów, dyskusje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Cyberbezpieczeństwo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Przeciwdziałanie cyberprzemocy i dezinformacji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warsztaty i zajęcia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 informatyki, wychowawcy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zdrowotna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Promowanie zdrowego stylu życia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zajęcia, projekty, działania szkolne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Aktywność fizyczna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Zwiększenie aktywności uczniów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 sportowe, aktywne przerwy, wydarzenia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 WF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Pierwsza pomoc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Rozwijanie kompetencji reagowania w nagłych sytuacjach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 praktyczne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wyznaczeni nauczyciele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według harmonogramu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Odporność społeczna,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odpowiedzialność za bezpieczeństwo własne i innych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Przygotowanie do odpowiedzialnego działania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 xml:space="preserve"> również w sytuacjach kryzysowych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projekty, ćwiczenia, działania obywatelskie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nauczyciele, wychowawcy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Patriotyzm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Rozwijanie tożsamości narodowej i regionalnej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uroczystości, projekty, wyjścia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Wolontariat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Kształtowanie postaw prospołecznych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akcje pomocowe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opiekun wolontariatu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Samorządność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Włączanie uczniów w podejmowanie decyzji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działalność SU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opiekun SU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włączająca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Rozpoznawanie barier i potrzeb ucznia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obserwacja funkcjonowania, współpraca zespołu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nauczyciele, specjaliści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Rodzice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Rozwijanie współpracy ze szkołą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konsultacje, spotkania, warsztaty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wychowawcy, specjaliści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Projekty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Rozwijanie ciekawości i współpracy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projekty interdyscyplinarne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Doradztwo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Wspieranie decyzji edukacyjno-zawodowych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zajęcia, konsultacje, spotkania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doradca zawodowy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zgodnie z planem</w:t>
            </w:r>
          </w:p>
        </w:tc>
      </w:tr>
      <w:tr>
        <w:trPr/>
        <w:tc>
          <w:tcPr>
            <w:tcW w:w="231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Ekologia</w:t>
            </w:r>
          </w:p>
        </w:tc>
        <w:tc>
          <w:tcPr>
            <w:tcW w:w="202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Rozwijanie odpowiedzialności środowiskowej</w:t>
            </w:r>
          </w:p>
        </w:tc>
        <w:tc>
          <w:tcPr>
            <w:tcW w:w="20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projekty i akcje</w:t>
            </w:r>
          </w:p>
        </w:tc>
        <w:tc>
          <w:tcPr>
            <w:tcW w:w="18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nauczyciele</w:t>
            </w:r>
          </w:p>
        </w:tc>
        <w:tc>
          <w:tcPr>
            <w:tcW w:w="168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cały rok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/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26. Kalendarz przykładowych wydarzeń wspierających realizację programu</w:t>
      </w:r>
    </w:p>
    <w:tbl>
      <w:tblPr>
        <w:tblStyle w:val="808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1"/>
        <w:gridCol w:w="4530"/>
      </w:tblGrid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>Miesiąc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>Przykładowe działania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Wrzesień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działania adaptacyjne i integracyjne, bezpieczeństwo, Standardy Ochrony Małoletnich-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pl-PL" w:eastAsia="en-US" w:bidi="ar-SA"/>
              </w:rPr>
              <w:t>przypomnienie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Październik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zdrowie psychiczne, relacje, Dzień Edukacji Narodowej, bezpieczeństwo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Listopad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działania patriotyczne i obywatelskie, przeciwdziałanie przemocy i zasady bezpieczeństwa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Grudzień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 xml:space="preserve">wolontariat, działania społeczne </w:t>
              <w:br/>
              <w:t>i integracyjne, bezpieczeństwo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Styczeń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higiena cyfrowa, bezpieczne ferie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Luty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bezpieczny Internet, cyberprzemoc, odpowiedzialne korzystanie z AI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Marzec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zdrowie, profilaktyka uzależnień, rozwijanie odporności psychicznej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Kwiecień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zdrowie, aktywność fizyczna, ekologia, bezpieczeństwo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Maj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edukacja obywatelska, patriotyzm, bezpieczeństwo</w:t>
            </w:r>
          </w:p>
        </w:tc>
      </w:tr>
      <w:tr>
        <w:trPr>
          <w:trHeight w:val="567" w:hRule="atLeast"/>
        </w:trPr>
        <w:tc>
          <w:tcPr>
            <w:tcW w:w="453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Czerwiec</w:t>
            </w:r>
          </w:p>
        </w:tc>
        <w:tc>
          <w:tcPr>
            <w:tcW w:w="45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pl-PL" w:eastAsia="en-US" w:bidi="ar-SA"/>
              </w:rPr>
              <w:t>bezpieczeństwo wakacyjne, podsumowanie działań i ewaluacja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27. Współpraca z rodzicami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ramach programu szkoła może realizować: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konsultacje indywidualne;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zebrania;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przekazywanie materiałów edukacyjnych;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spotkania ze specjalistami;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dotyczące zdrowia psychicznego;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edukację dotyczącą uzależnień behawioralnych;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edukację dotyczącą cyberbezpieczeństwa;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działania dotyczące współpracy z nastolatkiem;</w:t>
      </w:r>
    </w:p>
    <w:p>
      <w:pPr>
        <w:pStyle w:val="ListParagraph"/>
        <w:numPr>
          <w:ilvl w:val="0"/>
          <w:numId w:val="12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konsultacje dotyczące funkcjonowania dziecka;</w:t>
      </w:r>
    </w:p>
    <w:p>
      <w:pPr>
        <w:pStyle w:val="ListParagraph"/>
        <w:numPr>
          <w:ilvl w:val="0"/>
          <w:numId w:val="12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wspólne planowanie wsparcia.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28. Współpraca z instytucjami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zależności od potrzeb szkoła współpracuje z: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poradnią psychologiczno-pedagogiczną;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Policją;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ośrodkiem pomocy społecznej;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sądem rodzinnym;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placówkami ochrony zdrowia;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jednostkami samorządu terytorialnego;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instytucjami kultury;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organizacjami społecznymi;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organizacjami prowadzącymi działania profilaktyczne;</w:t>
      </w:r>
    </w:p>
    <w:p>
      <w:pPr>
        <w:pStyle w:val="ListParagraph"/>
        <w:numPr>
          <w:ilvl w:val="0"/>
          <w:numId w:val="1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instytucjami rynku pracy;</w:t>
      </w:r>
    </w:p>
    <w:p>
      <w:pPr>
        <w:pStyle w:val="ListParagraph"/>
        <w:numPr>
          <w:ilvl w:val="0"/>
          <w:numId w:val="13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szkołami ponadpodstawowymi i placówkami kształcenia zawodowego.</w:t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29. Oczekiwane efekty programu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wyniku realizacji programu zakłada się, że uczeń: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zasady bezpieczeństwa;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wie, gdzie szukać pomocy;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rozpoznawać zachowania przemocowe;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sposoby reagowania na cyberprzemoc;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 kompetencje emocjonalne;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lepiej radzi sobie ze stresem;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rozwija poczucie własnej wartości;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współpracować;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respektuje granice;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podstawowe zasady dbania o zdrowie;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rozumie znaczenie aktywności ruchowej;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zagrożenia wynikające z używania substancji psychoaktywnych;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rozumie ryzyko uzależnień behawioralnych;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bardziej świadomie korzystać z technologii;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krytycznie analizuje treści cyfrowe;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rozumie ograniczenia narzędzi AI;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angażuje się w życie społeczności;</w:t>
      </w:r>
    </w:p>
    <w:p>
      <w:pPr>
        <w:pStyle w:val="ListParagraph"/>
        <w:numPr>
          <w:ilvl w:val="0"/>
          <w:numId w:val="1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zna własne mocne strony;</w:t>
      </w:r>
    </w:p>
    <w:p>
      <w:pPr>
        <w:pStyle w:val="ListParagraph"/>
        <w:numPr>
          <w:ilvl w:val="0"/>
          <w:numId w:val="14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potrafi podejmować coraz bardziej świadome decyzje dotyczące swojej przyszłości.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30. Monitorowanie realizacji programu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Monitorowanie jest prowadzone przez cały rok szkolny.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Analizie mogą podlegać: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realizacja zaplanowanych działań;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frekwencja uczniów;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zachowania uczniów;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liczba zgłoszonych sytuacji problemowych;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przypadki przemocy;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trudności związane z zachowaniami cyfrowymi;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sposób korzystania z pomocy psychologiczno-pedagogicznej;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klimat społeczny klas;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poczucie bezpieczeństwa;</w:t>
      </w:r>
    </w:p>
    <w:p>
      <w:pPr>
        <w:pStyle w:val="ListParagraph"/>
        <w:numPr>
          <w:ilvl w:val="0"/>
          <w:numId w:val="1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udział uczniów w działaniach dodatkowych;</w:t>
      </w:r>
    </w:p>
    <w:p>
      <w:pPr>
        <w:pStyle w:val="ListParagraph"/>
        <w:numPr>
          <w:ilvl w:val="0"/>
          <w:numId w:val="15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współpraca z rodzicami.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31. Ewaluacja programu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Program podlega monitorowaniu i ewaluacji. Ewaluacja służy ocenie skuteczności działań oraz ustaleniu potrzeb na kolejny rok szkolny.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Może być prowadzona z wykorzystaniem: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ankiet dla uczniów;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ankiet dla rodziców;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ankiet dla nauczycieli;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obserwacji;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rozmów;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analizy dokumentacji;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analizy frekwencji;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analizy zdarzeń wychowawczych;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informacji specjalistów;</w:t>
      </w:r>
    </w:p>
    <w:p>
      <w:pPr>
        <w:pStyle w:val="ListParagraph"/>
        <w:numPr>
          <w:ilvl w:val="0"/>
          <w:numId w:val="16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analizy działań zespołów;</w:t>
      </w:r>
    </w:p>
    <w:p>
      <w:pPr>
        <w:pStyle w:val="ListParagraph"/>
        <w:numPr>
          <w:ilvl w:val="0"/>
          <w:numId w:val="16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opinii samorządu uczniowskiego.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33. Postanowienia końcowe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Niniejszy program obowiązuje na okres jednego roku szkolnego, tj. do zakończenia roku szkolnego 2026/2027 z możliwością aktualizacji.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Program Wychowawczo-Profilaktyczny Szkoły Podstawowej nr 1 im. Lotników Polskich w Poddębicach na rok szkolny 2026/2027 jest otwarty, może być modyfikowany w trakcie realizacji w trybie przyjecia.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Szczegółowe plany pracy wychowawczej poszczególnych klas powinny wynikać z założeń programu oraz uwzględniać:</w:t>
      </w:r>
    </w:p>
    <w:p>
      <w:pPr>
        <w:pStyle w:val="ListParagraph"/>
        <w:numPr>
          <w:ilvl w:val="0"/>
          <w:numId w:val="1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wiek uczniów;</w:t>
      </w:r>
    </w:p>
    <w:p>
      <w:pPr>
        <w:pStyle w:val="ListParagraph"/>
        <w:numPr>
          <w:ilvl w:val="0"/>
          <w:numId w:val="1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potrzeby danego zespołu;</w:t>
      </w:r>
    </w:p>
    <w:p>
      <w:pPr>
        <w:pStyle w:val="ListParagraph"/>
        <w:numPr>
          <w:ilvl w:val="0"/>
          <w:numId w:val="1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rozpoznane czynniki chroniące;</w:t>
      </w:r>
    </w:p>
    <w:p>
      <w:pPr>
        <w:pStyle w:val="ListParagraph"/>
        <w:numPr>
          <w:ilvl w:val="0"/>
          <w:numId w:val="1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rozpoznane czynniki ryzyka;</w:t>
      </w:r>
    </w:p>
    <w:p>
      <w:pPr>
        <w:pStyle w:val="ListParagraph"/>
        <w:numPr>
          <w:ilvl w:val="0"/>
          <w:numId w:val="1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sytuację wychowawczą;</w:t>
      </w:r>
    </w:p>
    <w:p>
      <w:pPr>
        <w:pStyle w:val="ListParagraph"/>
        <w:numPr>
          <w:ilvl w:val="0"/>
          <w:numId w:val="17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potrzeby rozwojowe;</w:t>
      </w:r>
    </w:p>
    <w:p>
      <w:pPr>
        <w:pStyle w:val="ListParagraph"/>
        <w:numPr>
          <w:ilvl w:val="0"/>
          <w:numId w:val="17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wyniki obserwacji funkcjonowania uczniów.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ubtitle"/>
        <w:tabs>
          <w:tab w:val="clear" w:pos="708"/>
          <w:tab w:val="left" w:pos="1985" w:leader="none"/>
          <w:tab w:val="left" w:pos="5812" w:leader="none"/>
        </w:tabs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>Za realizację Programu Wychowawczo-Profilaktycznego Szkoły odpowiedzialni są wszyscy pracownicy Szkoły.</w:t>
      </w:r>
    </w:p>
    <w:p>
      <w:pPr>
        <w:pStyle w:val="Subtitle"/>
        <w:tabs>
          <w:tab w:val="clear" w:pos="708"/>
          <w:tab w:val="left" w:pos="1985" w:leader="none"/>
          <w:tab w:val="left" w:pos="5812" w:leader="none"/>
        </w:tabs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>Dyrektor Szkoły czuwa nad prawidłowością jego realizacji.</w:t>
      </w:r>
    </w:p>
    <w:p>
      <w:pPr>
        <w:pStyle w:val="Subtitle"/>
        <w:tabs>
          <w:tab w:val="clear" w:pos="708"/>
          <w:tab w:val="left" w:pos="1985" w:leader="none"/>
          <w:tab w:val="left" w:pos="5812" w:leader="none"/>
        </w:tabs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Za realizację poszczególnych zakresów odpowiedzialni są wychowawcy </w:t>
        <w:br/>
        <w:t>i nauczyciele, w tym wskazani decyzją dyrektora bądź rady pedagogicznej.</w:t>
      </w:r>
    </w:p>
    <w:p>
      <w:pPr>
        <w:pStyle w:val="Subtitle"/>
        <w:tabs>
          <w:tab w:val="clear" w:pos="708"/>
          <w:tab w:val="left" w:pos="1985" w:leader="none"/>
          <w:tab w:val="left" w:pos="5812" w:leader="none"/>
        </w:tabs>
        <w:spacing w:lineRule="auto" w:line="240"/>
        <w:jc w:val="both"/>
        <w:rPr>
          <w:rFonts w:ascii="Times New Roman" w:hAnsi="Times New Roman"/>
          <w:color w:themeColor="text1" w:themeTint="a6" w:val="000000"/>
          <w:sz w:val="24"/>
          <w:szCs w:val="24"/>
        </w:rPr>
      </w:pPr>
      <w:r>
        <w:rPr>
          <w:rFonts w:ascii="Times New Roman" w:hAnsi="Times New Roman"/>
          <w:color w:themeColor="text1" w:themeTint="a6" w:val="000000"/>
          <w:sz w:val="24"/>
          <w:szCs w:val="24"/>
        </w:rPr>
      </w:r>
    </w:p>
    <w:p>
      <w:pPr>
        <w:pStyle w:val="Subtitle"/>
        <w:tabs>
          <w:tab w:val="clear" w:pos="708"/>
          <w:tab w:val="left" w:pos="1985" w:leader="none"/>
          <w:tab w:val="left" w:pos="5812" w:leader="none"/>
        </w:tabs>
        <w:spacing w:lineRule="auto" w:line="240"/>
        <w:jc w:val="both"/>
        <w:rPr>
          <w:color w:val="000000"/>
        </w:rPr>
      </w:pPr>
      <w:r>
        <w:rPr>
          <w:color w:themeColor="text1" w:themeTint="a6" w:val="000000"/>
        </w:rPr>
      </w:r>
    </w:p>
    <w:p>
      <w:pPr>
        <w:pStyle w:val="Subtitle"/>
        <w:tabs>
          <w:tab w:val="clear" w:pos="708"/>
          <w:tab w:val="left" w:pos="1985" w:leader="none"/>
          <w:tab w:val="left" w:pos="5812" w:leader="none"/>
        </w:tabs>
        <w:spacing w:lineRule="auto" w:line="240"/>
        <w:jc w:val="both"/>
        <w:rPr>
          <w:color w:val="000000"/>
        </w:rPr>
      </w:pPr>
      <w:r>
        <w:rPr>
          <w:color w:themeColor="text1" w:themeTint="a6" w:val="000000"/>
        </w:rPr>
      </w:r>
    </w:p>
    <w:p>
      <w:pPr>
        <w:pStyle w:val="Subtitle"/>
        <w:tabs>
          <w:tab w:val="clear" w:pos="708"/>
          <w:tab w:val="left" w:pos="1985" w:leader="none"/>
          <w:tab w:val="left" w:pos="5812" w:leader="none"/>
        </w:tabs>
        <w:spacing w:lineRule="auto" w:line="240"/>
        <w:jc w:val="both"/>
        <w:rPr>
          <w:color w:val="3465A4"/>
        </w:rPr>
      </w:pPr>
      <w:r>
        <w:rPr>
          <w:color w:themeColor="text1" w:themeTint="a6" w:val="3465A4"/>
        </w:rPr>
      </w:r>
    </w:p>
    <w:p>
      <w:pPr>
        <w:pStyle w:val="Normal"/>
        <w:spacing w:lineRule="auto" w:line="2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Szkolny Program Wychowawczo-Profilaktyczny został uchwalony przez Radę Rodziców </w:t>
        <w:br/>
        <w:t xml:space="preserve">w porozumieniu z Radą Pedagogiczną Szkoły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................................................................................................................................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dniu ................................................................ 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Dyrektor szkoły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Przewodniczący Rady Rodziców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....................................................................</w:t>
      </w:r>
    </w:p>
    <w:sectPr>
      <w:footerReference w:type="default" r:id="rId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</w:p>
  <w:p>
    <w:pPr>
      <w:pStyle w:val="Normal"/>
      <w:spacing w:before="0" w:after="0"/>
      <w:jc w:val="center"/>
      <w:rPr>
        <w:color w:val="244061"/>
        <w:sz w:val="20"/>
        <w:szCs w:val="28"/>
      </w:rPr>
    </w:pPr>
    <w:r>
      <w:rPr>
        <w:color w:val="244061"/>
        <w:sz w:val="20"/>
        <w:szCs w:val="28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pPr>
      <w:keepNext w:val="true"/>
      <w:keepLines/>
      <w:spacing w:before="360" w:after="80"/>
      <w:outlineLvl w:val="0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pPr>
      <w:keepNext w:val="true"/>
      <w:keepLines/>
      <w:spacing w:before="160" w:after="80"/>
      <w:outlineLvl w:val="1"/>
    </w:pPr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pPr>
      <w:keepNext w:val="true"/>
      <w:keepLines/>
      <w:spacing w:before="160" w:after="80"/>
      <w:outlineLvl w:val="2"/>
    </w:pPr>
    <w:rPr>
      <w:rFonts w:eastAsia="Arial" w:cs="Arial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pPr>
      <w:keepNext w:val="true"/>
      <w:keepLines/>
      <w:spacing w:before="80" w:after="40"/>
      <w:outlineLvl w:val="3"/>
    </w:pPr>
    <w:rPr>
      <w:rFonts w:eastAsia="Arial" w:cs="Arial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pPr>
      <w:keepNext w:val="true"/>
      <w:keepLines/>
      <w:spacing w:before="80" w:after="40"/>
      <w:outlineLvl w:val="4"/>
    </w:pPr>
    <w:rPr>
      <w:rFonts w:eastAsia="Arial" w:cs="Arial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pPr>
      <w:keepNext w:val="true"/>
      <w:keepLines/>
      <w:spacing w:before="40" w:after="0"/>
      <w:outlineLvl w:val="5"/>
    </w:pPr>
    <w:rPr>
      <w:rFonts w:eastAsia="Arial" w:cs="Arial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pPr>
      <w:keepNext w:val="true"/>
      <w:keepLines/>
      <w:spacing w:before="40" w:after="0"/>
      <w:outlineLvl w:val="6"/>
    </w:pPr>
    <w:rPr>
      <w:rFonts w:eastAsia="Arial" w:cs="Arial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pPr>
      <w:keepNext w:val="true"/>
      <w:keepLines/>
      <w:spacing w:before="0" w:after="0"/>
      <w:outlineLvl w:val="7"/>
    </w:pPr>
    <w:rPr>
      <w:rFonts w:eastAsia="Arial" w:cs="Arial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pPr>
      <w:keepNext w:val="true"/>
      <w:keepLines/>
      <w:spacing w:before="0" w:after="0"/>
      <w:outlineLvl w:val="8"/>
    </w:pPr>
    <w:rPr>
      <w:rFonts w:eastAsia="Arial" w:cs="Arial" w:cstheme="majorBidi" w:eastAsiaTheme="majorEastAsia"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Znakiprzypiswkocowych">
    <w:name w:val="Znaki przypisów końcowych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Pr>
      <w:rFonts w:ascii="Calibri Light" w:hAnsi="Calibri Light" w:eastAsia="Arial" w:cs="Arial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Pr>
      <w:rFonts w:eastAsia="Arial" w:cs="Arial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Pr>
      <w:rFonts w:eastAsia="Arial" w:cs="Arial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Pr>
      <w:rFonts w:eastAsia="Arial" w:cs="Arial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Pr>
      <w:rFonts w:eastAsia="Arial" w:cs="Arial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Pr>
      <w:rFonts w:eastAsia="Arial" w:cs="Arial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Pr>
      <w:rFonts w:eastAsia="Arial" w:cs="Arial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Pr>
      <w:rFonts w:eastAsia="Arial" w:cs="Arial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Pr>
      <w:rFonts w:ascii="Calibri Light" w:hAnsi="Calibri Light" w:eastAsia="Arial" w:cs="Arial" w:asciiTheme="majorHAnsi" w:cstheme="majorBidi" w:eastAsiaTheme="majorEastAsia" w:hAnsiTheme="majorHAnsi"/>
      <w:spacing w:val="-10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Pr>
      <w:rFonts w:eastAsia="Arial" w:cs="Arial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F5496"/>
      <w:spacing w:val="5"/>
    </w:rPr>
  </w:style>
  <w:style w:type="character" w:styleId="NagwekZnak" w:customStyle="1">
    <w:name w:val="Nagłówek Znak"/>
    <w:basedOn w:val="DefaultParagraphFont"/>
    <w:uiPriority w:val="99"/>
    <w:qFormat/>
    <w:rPr/>
  </w:style>
  <w:style w:type="character" w:styleId="StopkaZnak" w:customStyle="1">
    <w:name w:val="Stopka Znak"/>
    <w:basedOn w:val="DefaultParagraphFont"/>
    <w:uiPriority w:val="99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Nagwek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59" w:beforeAutospacing="0" w:before="0" w:afterAutospacing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  <w14:ligatures w14:val="standardContextual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Title">
    <w:name w:val="Title"/>
    <w:basedOn w:val="Normal"/>
    <w:next w:val="Normal"/>
    <w:link w:val="TytuZnak"/>
    <w:uiPriority w:val="10"/>
    <w:qFormat/>
    <w:pPr>
      <w:spacing w:lineRule="auto" w:line="240" w:before="0" w:after="80"/>
      <w:contextualSpacing/>
    </w:pPr>
    <w:rPr>
      <w:rFonts w:ascii="Calibri Light" w:hAnsi="Calibri Light" w:eastAsia="Arial" w:cs="Arial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pPr/>
    <w:rPr>
      <w:rFonts w:eastAsia="Arial" w:cs="Arial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styleId="13">
    <w:name w:val="Table Grid Light"/>
    <w:basedOn w:val="78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1"/>
    <w:basedOn w:val="782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2"/>
    <w:basedOn w:val="78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3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4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Plain Table 5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1 Light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9E2F3" w:themeFill="accent1" w:themeFillTint="34"/>
      </w:tcPr>
    </w:tblStylePr>
    <w:tblStylePr w:type="band1Vert">
      <w:rPr>
        <w:sz w:val="22"/>
      </w:rPr>
      <w:tblPr/>
      <w:tcPr>
        <w:shd w:val="clear" w:color="FFFFFF" w:fill="D9E2F3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6D7" w:themeFill="accent2" w:themeFillTint="32"/>
      </w:tcPr>
    </w:tblStylePr>
    <w:tblStylePr w:type="band1Vert">
      <w:rPr>
        <w:sz w:val="22"/>
      </w:rPr>
      <w:tblPr/>
      <w:tcPr>
        <w:shd w:val="clear" w:color="FFFFFF" w:fill="FBE6D7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EEBF6" w:themeFill="accent5" w:themeFillTint="34"/>
      </w:tcPr>
    </w:tblStylePr>
    <w:tblStylePr w:type="band1Vert">
      <w:rPr>
        <w:sz w:val="22"/>
      </w:rPr>
      <w:tblPr/>
      <w:tcPr>
        <w:shd w:val="clear" w:color="FFFFFF" w:fill="DEEB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2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9" w:themeFill="accent6" w:themeFillTint="34"/>
      </w:tcPr>
    </w:tblStylePr>
    <w:tblStylePr w:type="band1Vert">
      <w:rPr>
        <w:sz w:val="22"/>
      </w:rPr>
      <w:tblPr/>
      <w:tcPr>
        <w:shd w:val="clear" w:color="FFFFFF" w:fill="E2EF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9E2F3" w:themeFill="accent1" w:themeFillTint="34"/>
      </w:tcPr>
    </w:tblStylePr>
    <w:tblStylePr w:type="band1Vert">
      <w:rPr>
        <w:sz w:val="22"/>
      </w:rPr>
      <w:tblPr/>
      <w:tcPr>
        <w:shd w:val="clear" w:color="FFFFFF" w:fill="D9E2F3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BE6D7" w:themeFill="accent2" w:themeFillTint="32"/>
      </w:tcPr>
    </w:tblStylePr>
    <w:tblStylePr w:type="band1Vert">
      <w:rPr>
        <w:sz w:val="22"/>
      </w:rPr>
      <w:tblPr/>
      <w:tcPr>
        <w:shd w:val="clear" w:color="FFFFFF" w:fill="FBE6D7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EEBF6" w:themeFill="accent5" w:themeFillTint="34"/>
      </w:tcPr>
    </w:tblStylePr>
    <w:tblStylePr w:type="band1Vert">
      <w:rPr>
        <w:sz w:val="22"/>
      </w:rPr>
      <w:tblPr/>
      <w:tcPr>
        <w:shd w:val="clear" w:color="FFFFFF" w:fill="DEEB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3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E2EFD9" w:themeFill="accent6" w:themeFillTint="34"/>
      </w:tcPr>
    </w:tblStylePr>
    <w:tblStylePr w:type="band1Vert">
      <w:rPr>
        <w:sz w:val="22"/>
      </w:rPr>
      <w:tblPr/>
      <w:tcPr>
        <w:shd w:val="clear" w:color="FFFFFF" w:fill="E2EF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"/>
    <w:basedOn w:val="7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1"/>
    <w:basedOn w:val="7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AE3F3" w:themeFill="accent1" w:themeFillTint="32"/>
      </w:tcPr>
    </w:tblStylePr>
    <w:tblStylePr w:type="band1Vert">
      <w:rPr>
        <w:sz w:val="22"/>
      </w:rPr>
      <w:tblPr/>
      <w:tcPr>
        <w:shd w:val="clear" w:color="FFFFFF" w:fill="DAE3F3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37EC9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2"/>
    <w:basedOn w:val="7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BE6D7" w:themeFill="accent2" w:themeFillTint="32"/>
      </w:tcPr>
    </w:tblStylePr>
    <w:tblStylePr w:type="band1Vert">
      <w:rPr>
        <w:sz w:val="22"/>
      </w:rPr>
      <w:tblPr/>
      <w:tcPr>
        <w:shd w:val="clear" w:color="FFFFFF" w:fill="FBE6D7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F4B2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3"/>
    <w:basedOn w:val="7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DEDED" w:themeFill="accent3" w:themeFillTint="34"/>
      </w:tcPr>
    </w:tblStylePr>
    <w:tblStylePr w:type="band1Vert">
      <w:rPr>
        <w:sz w:val="22"/>
      </w:rPr>
      <w:tblPr/>
      <w:tcPr>
        <w:shd w:val="clear" w:color="FFFFFF" w:fill="EDEDE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A5A5A5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4"/>
    <w:basedOn w:val="7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F2CB" w:themeFill="accent4" w:themeFillTint="34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FFD9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5"/>
    <w:basedOn w:val="7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EEBF6" w:themeFill="accent5" w:themeFillTint="34"/>
      </w:tcPr>
    </w:tblStylePr>
    <w:tblStylePr w:type="band1Vert">
      <w:rPr>
        <w:sz w:val="22"/>
      </w:rPr>
      <w:tblPr/>
      <w:tcPr>
        <w:shd w:val="clear" w:color="FFFFFF" w:fill="DEEBF6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4 - Accent 6"/>
    <w:basedOn w:val="78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E2EFD9" w:themeFill="accent6" w:themeFillTint="34"/>
      </w:tcPr>
    </w:tblStylePr>
    <w:tblStylePr w:type="band1Vert">
      <w:rPr>
        <w:sz w:val="22"/>
      </w:rPr>
      <w:tblPr/>
      <w:tcPr>
        <w:shd w:val="clear" w:color="FFFFFF" w:fill="E2EF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9BEE4" w:themeFill="accent1" w:themeFillTint="75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472C4" w:themeFill="accent1"/>
      </w:tcPr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  <w:sz w:val="22"/>
      </w:rPr>
      <w:tblPr/>
      <w:tcPr>
        <w:shd w:val="clear" w:color="FFFFFF" w:fill="4472C4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472C4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7C3A0" w:themeFill="accent2" w:themeFillTint="75"/>
      </w:tcPr>
    </w:tblStylePr>
    <w:tblStylePr w:type="band1Vert">
      <w:tblPr/>
      <w:tcPr>
        <w:shd w:val="clear" w:color="FFFFFF" w:fill="F7C3A0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ED7D31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6D6D6" w:themeFill="accent3" w:themeFillTint="75"/>
      </w:tcPr>
    </w:tblStylePr>
    <w:tblStylePr w:type="band1Vert">
      <w:tblPr/>
      <w:tcPr>
        <w:shd w:val="clear" w:color="FFFFFF" w:fill="D6D6D6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A5A5A5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FE28A" w:themeFill="accent4" w:themeFillTint="75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FC000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4D1EC" w:themeFill="accent5" w:themeFillTint="75"/>
      </w:tcPr>
    </w:tblStylePr>
    <w:tblStylePr w:type="band1Vert">
      <w:tblPr/>
      <w:tcPr>
        <w:shd w:val="clear" w:color="FFFFFF" w:fill="B4D1EC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5B9BD5" w:themeFill="accent5"/>
      </w:tcPr>
    </w:tblStyle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  <w:sz w:val="22"/>
      </w:rPr>
      <w:tblPr/>
      <w:tcPr>
        <w:shd w:val="clear" w:color="FFFFFF" w:fill="5B9BD5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5 Dark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BDDBA8" w:themeFill="accent6" w:themeFillTint="75"/>
      </w:tcPr>
    </w:tblStylePr>
    <w:tblStylePr w:type="band1Vert">
      <w:tblPr/>
      <w:tcPr>
        <w:shd w:val="clear" w:color="FFFFFF" w:fill="BDDBA8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4">
    <w:name w:val="Grid Table 6 Colorful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5">
    <w:name w:val="Grid Table 6 Colorful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9E2F3" w:themeFill="accent1" w:themeFillTint="34"/>
      </w:tcPr>
    </w:tblStylePr>
    <w:tblStylePr w:type="band1Vert">
      <w:tblPr/>
      <w:tcPr>
        <w:shd w:val="clear" w:color="FFFFFF" w:fill="D9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6">
    <w:name w:val="Grid Table 6 Colorful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6D7" w:themeFill="accent2" w:themeFillTint="32"/>
      </w:tcPr>
    </w:tblStylePr>
    <w:tblStylePr w:type="band1Vert">
      <w:tblPr/>
      <w:tcPr>
        <w:shd w:val="clear" w:color="FFFFFF" w:fill="FBE6D7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7">
    <w:name w:val="Grid Table 6 Colorful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8">
    <w:name w:val="Grid Table 6 Colorful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9">
    <w:name w:val="Grid Table 6 Colorful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EEBF6" w:themeFill="accent5" w:themeFillTint="34"/>
      </w:tcPr>
    </w:tblStylePr>
    <w:tblStylePr w:type="band1Vert">
      <w:tblPr/>
      <w:tcPr>
        <w:shd w:val="clear" w:color="FFFFFF" w:fill="DEEBF6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6 Colorful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E2EFD9" w:themeFill="accent6" w:themeFillTint="34"/>
      </w:tcPr>
    </w:tblStylePr>
    <w:tblStylePr w:type="band1Vert">
      <w:tblPr/>
      <w:tcPr>
        <w:shd w:val="clear" w:color="FFFFFF" w:fill="E2EF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1">
    <w:name w:val="Grid Table 7 Colorful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9E2F3" w:themeFill="accent1" w:themeFillTint="34"/>
      </w:tcPr>
    </w:tblStylePr>
    <w:tblStylePr w:type="band1Vert">
      <w:tblPr/>
      <w:tcPr>
        <w:shd w:val="clear" w:color="FFFFFF" w:fill="D9E2F3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BE6D7" w:themeFill="accent2" w:themeFillTint="32"/>
      </w:tcPr>
    </w:tblStylePr>
    <w:tblStylePr w:type="band1Vert">
      <w:tblPr/>
      <w:tcPr>
        <w:shd w:val="clear" w:color="FFFFFF" w:fill="FBE6D7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DEDED" w:themeFill="accent3" w:themeFillTint="34"/>
      </w:tcPr>
    </w:tblStylePr>
    <w:tblStylePr w:type="band1Vert">
      <w:tblPr/>
      <w:tcPr>
        <w:shd w:val="clear" w:color="FFFFFF" w:fill="EDEDE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EEBF6" w:themeFill="accent5" w:themeFillTint="34"/>
      </w:tcPr>
    </w:tblStylePr>
    <w:tblStylePr w:type="band1Vert">
      <w:tblPr/>
      <w:tcPr>
        <w:shd w:val="clear" w:color="FFFFFF" w:fill="DEEBF6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Grid Table 7 Colorful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E2EFD9" w:themeFill="accent6" w:themeFillTint="34"/>
      </w:tcPr>
    </w:tblStylePr>
    <w:tblStylePr w:type="band1Vert">
      <w:tblPr/>
      <w:tcPr>
        <w:shd w:val="clear" w:color="FFFFFF" w:fill="E2EF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1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0DCF0" w:themeFill="accent1" w:themeFillTint="40"/>
      </w:tcPr>
    </w:tblStylePr>
    <w:tblStylePr w:type="band1Vert">
      <w:tblPr/>
      <w:tcPr>
        <w:shd w:val="clear" w:color="FFFFFF" w:fill="D0DC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2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3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4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5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6E6F4" w:themeFill="accent5" w:themeFillTint="40"/>
      </w:tcPr>
    </w:tblStylePr>
    <w:tblStylePr w:type="band1Vert">
      <w:tblPr/>
      <w:tcPr>
        <w:shd w:val="clear" w:color="FFFFFF" w:fill="D6E6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1 Light - Accent 6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BECD0" w:themeFill="accent6" w:themeFillTint="40"/>
      </w:tcPr>
    </w:tblStylePr>
    <w:tblStylePr w:type="band1Vert">
      <w:tblPr/>
      <w:tcPr>
        <w:shd w:val="clear" w:color="FFFFFF" w:fill="DBECD0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0DCF0" w:themeFill="accent1" w:themeFillTint="40"/>
      </w:tcPr>
    </w:tblStylePr>
    <w:tblStylePr w:type="band1Vert">
      <w:rPr>
        <w:sz w:val="22"/>
      </w:rPr>
      <w:tblPr/>
      <w:tcPr>
        <w:shd w:val="clear" w:color="FFFFFF" w:fill="D0DC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6E6F4" w:themeFill="accent5" w:themeFillTint="40"/>
      </w:tcPr>
    </w:tblStylePr>
    <w:tblStylePr w:type="band1Vert">
      <w:rPr>
        <w:sz w:val="22"/>
      </w:rPr>
      <w:tblPr/>
      <w:tcPr>
        <w:shd w:val="clear" w:color="FFFFFF" w:fill="D6E6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2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CD0" w:themeFill="accent6" w:themeFillTint="40"/>
      </w:tcPr>
    </w:tblStylePr>
    <w:tblStylePr w:type="band1Vert">
      <w:rPr>
        <w:sz w:val="22"/>
      </w:rPr>
      <w:tblPr/>
      <w:tcPr>
        <w:shd w:val="clear" w:color="FFFFFF" w:fill="DBECD0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4B285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D965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CC3E6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3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9D18F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0DCF0" w:themeFill="accent1" w:themeFillTint="40"/>
      </w:tcPr>
    </w:tblStylePr>
    <w:tblStylePr w:type="band1Vert">
      <w:rPr>
        <w:sz w:val="22"/>
      </w:rPr>
      <w:tblPr/>
      <w:tcPr>
        <w:shd w:val="clear" w:color="FFFFFF" w:fill="D0DCF0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472C4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ADECB" w:themeFill="accent2" w:themeFillTint="40"/>
      </w:tc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8E8E8" w:themeFill="accent3" w:themeFillTint="40"/>
      </w:tc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FFEFBF" w:themeFill="accent4" w:themeFillTint="40"/>
      </w:tc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6E6F4" w:themeFill="accent5" w:themeFillTint="40"/>
      </w:tcPr>
    </w:tblStylePr>
    <w:tblStylePr w:type="band1Vert">
      <w:rPr>
        <w:sz w:val="22"/>
      </w:rPr>
      <w:tblPr/>
      <w:tcPr>
        <w:shd w:val="clear" w:color="FFFFFF" w:fill="D6E6F4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5B9BD5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4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DBECD0" w:themeFill="accent6" w:themeFillTint="40"/>
      </w:tcPr>
    </w:tblStylePr>
    <w:tblStylePr w:type="band1Vert">
      <w:rPr>
        <w:sz w:val="22"/>
      </w:rPr>
      <w:tblPr/>
      <w:tcPr>
        <w:shd w:val="clear" w:color="FFFFFF" w:fill="DBECD0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6">
    <w:name w:val="List Table 5 Dark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472C4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472C4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472C4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472C4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285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4B285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4B285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F4B285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9C9C9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965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FD965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FD965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FFD965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CC3E6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CC3E6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CC3E6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CC3E6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5 Dark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9D18F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A9D18F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A9D18F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A9D18F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3">
    <w:name w:val="List Table 6 Colorful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0DCF0" w:themeFill="accent1" w:themeFillTint="40"/>
      </w:tcPr>
    </w:tblStylePr>
    <w:tblStylePr w:type="band1Vert">
      <w:tblPr/>
      <w:tcPr>
        <w:shd w:val="clear" w:color="FFFFFF" w:fill="D0DCF0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6E6F4" w:themeFill="accent5" w:themeFillTint="40"/>
      </w:tcPr>
    </w:tblStylePr>
    <w:tblStylePr w:type="band1Vert">
      <w:tblPr/>
      <w:tcPr>
        <w:shd w:val="clear" w:color="FFFFFF" w:fill="D6E6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6 Colorful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CD0" w:themeFill="accent6" w:themeFillTint="40"/>
      </w:tcPr>
    </w:tblStylePr>
    <w:tblStylePr w:type="band1Vert">
      <w:tblPr/>
      <w:tcPr>
        <w:shd w:val="clear" w:color="FFFFFF" w:fill="DBEC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0">
    <w:name w:val="List Table 7 Colorful"/>
    <w:basedOn w:val="7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1">
    <w:name w:val="List Table 7 Colorful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0DCF0" w:themeFill="accent1" w:themeFillTint="40"/>
      </w:tcPr>
    </w:tblStylePr>
    <w:tblStylePr w:type="band1Vert">
      <w:tblPr/>
      <w:tcPr>
        <w:shd w:val="clear" w:color="FFFFFF" w:fill="D0DCF0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2">
    <w:name w:val="List Table 7 Colorful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3">
    <w:name w:val="List Table 7 Colorful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4">
    <w:name w:val="List Table 7 Colorful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5">
    <w:name w:val="List Table 7 Colorful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6E6F4" w:themeFill="accent5" w:themeFillTint="40"/>
      </w:tcPr>
    </w:tblStylePr>
    <w:tblStylePr w:type="band1Vert">
      <w:tblPr/>
      <w:tcPr>
        <w:shd w:val="clear" w:color="FFFFFF" w:fill="D6E6F4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6">
    <w:name w:val="List Table 7 Colorful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DBECD0" w:themeFill="accent6" w:themeFillTint="40"/>
      </w:tcPr>
    </w:tblStylePr>
    <w:tblStylePr w:type="band1Vert">
      <w:tblPr/>
      <w:tcPr>
        <w:shd w:val="clear" w:color="FFFFFF" w:fill="DBEC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7">
    <w:name w:val="Lined - Accent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1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4D3EC" w:themeFill="accent1" w:themeFillTint="50"/>
      </w:tcPr>
    </w:tblStylePr>
    <w:tblStylePr w:type="band2Vert">
      <w:rPr>
        <w:sz w:val="22"/>
      </w:rPr>
      <w:tblPr/>
      <w:tcPr>
        <w:shd w:val="clear" w:color="FFFFFF" w:fill="C4D3EC" w:themeFill="accent1" w:themeFillTint="50"/>
      </w:tcPr>
    </w:tblStylePr>
    <w:tblStylePr w:type="firstCol">
      <w:rPr>
        <w:sz w:val="22"/>
      </w:rPr>
      <w:tblPr/>
      <w:tcPr>
        <w:shd w:val="clear" w:color="FFFFFF" w:fill="537EC9" w:themeFill="accent1" w:themeFillTint="ea"/>
      </w:tcPr>
    </w:tblStylePr>
    <w:tblStylePr w:type="firstRow">
      <w:rPr>
        <w:sz w:val="22"/>
      </w:rPr>
      <w:tblPr/>
      <w:tcPr>
        <w:shd w:val="clear" w:color="FFFFFF" w:fill="537EC9" w:themeFill="accent1" w:themeFillTint="ea"/>
      </w:tcPr>
    </w:tblStylePr>
    <w:tblStylePr w:type="lastCol">
      <w:rPr>
        <w:sz w:val="22"/>
      </w:rPr>
      <w:tblPr/>
      <w:tcPr>
        <w:shd w:val="clear" w:color="FFFFFF" w:fill="537EC9" w:themeFill="accent1" w:themeFillTint="ea"/>
      </w:tcPr>
    </w:tblStylePr>
    <w:tblStylePr w:type="lastRow">
      <w:rPr>
        <w:sz w:val="22"/>
      </w:rPr>
      <w:tblPr/>
      <w:tcPr>
        <w:shd w:val="clear" w:color="FFFFFF" w:fill="537EC9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2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6D7" w:themeFill="accent2" w:themeFillTint="32"/>
      </w:tcPr>
    </w:tblStylePr>
    <w:tblStylePr w:type="band2Vert">
      <w:rPr>
        <w:sz w:val="22"/>
      </w:rPr>
      <w:tblPr/>
      <w:tcPr>
        <w:shd w:val="clear" w:color="FFFFFF" w:fill="FBE6D7" w:themeFill="accent2" w:themeFillTint="32"/>
      </w:tcPr>
    </w:tblStylePr>
    <w:tblStylePr w:type="firstCol">
      <w:rPr>
        <w:sz w:val="22"/>
      </w:rPr>
      <w:tblPr/>
      <w:tcPr>
        <w:shd w:val="clear" w:color="FFFFFF" w:fill="F4B285" w:themeFill="accent2" w:themeFillTint="97"/>
      </w:tcPr>
    </w:tblStylePr>
    <w:tblStylePr w:type="firstRow">
      <w:rPr>
        <w:sz w:val="22"/>
      </w:rPr>
      <w:tblPr/>
      <w:tcPr>
        <w:shd w:val="clear" w:color="FFFFFF" w:fill="F4B285" w:themeFill="accent2" w:themeFillTint="97"/>
      </w:tcPr>
    </w:tblStylePr>
    <w:tblStylePr w:type="lastCol">
      <w:rPr>
        <w:sz w:val="22"/>
      </w:rPr>
      <w:tblPr/>
      <w:tcPr>
        <w:shd w:val="clear" w:color="FFFFFF" w:fill="F4B285" w:themeFill="accent2" w:themeFillTint="97"/>
      </w:tcPr>
    </w:tblStylePr>
    <w:tblStylePr w:type="lastRow">
      <w:rPr>
        <w:sz w:val="22"/>
      </w:rPr>
      <w:tblPr/>
      <w:tcPr>
        <w:shd w:val="clear" w:color="FFFFFF" w:fill="F4B285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3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4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firstCol">
      <w:rPr>
        <w:sz w:val="22"/>
      </w:rPr>
      <w:tblPr/>
      <w:tcPr>
        <w:shd w:val="clear" w:color="FFFFFF" w:fill="FFD965" w:themeFill="accent4" w:themeFillTint="9a"/>
      </w:tcPr>
    </w:tblStylePr>
    <w:tblStylePr w:type="firstRow">
      <w:rPr>
        <w:sz w:val="22"/>
      </w:rPr>
      <w:tblPr/>
      <w:tcPr>
        <w:shd w:val="clear" w:color="FFFFFF" w:fill="FFD965" w:themeFill="accent4" w:themeFillTint="9a"/>
      </w:tcPr>
    </w:tblStylePr>
    <w:tblStylePr w:type="lastCol">
      <w:rPr>
        <w:sz w:val="22"/>
      </w:rPr>
      <w:tblPr/>
      <w:tcPr>
        <w:shd w:val="clear" w:color="FFFFFF" w:fill="FFD965" w:themeFill="accent4" w:themeFillTint="9a"/>
      </w:tcPr>
    </w:tblStylePr>
    <w:tblStylePr w:type="lastRow">
      <w:rPr>
        <w:sz w:val="22"/>
      </w:rPr>
      <w:tblPr/>
      <w:tcPr>
        <w:shd w:val="clear" w:color="FFFFFF" w:fill="FFD965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5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EEBF6" w:themeFill="accent5" w:themeFillTint="34"/>
      </w:tcPr>
    </w:tblStylePr>
    <w:tblStylePr w:type="band2Vert">
      <w:rPr>
        <w:sz w:val="22"/>
      </w:rPr>
      <w:tblPr/>
      <w:tcPr>
        <w:shd w:val="clear" w:color="FFFFFF" w:fill="DEEBF6" w:themeFill="accent5" w:themeFillTint="34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Lined - Accent 6"/>
    <w:basedOn w:val="78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9" w:themeFill="accent6" w:themeFillTint="34"/>
      </w:tcPr>
    </w:tblStylePr>
    <w:tblStylePr w:type="band2Vert">
      <w:rPr>
        <w:sz w:val="22"/>
      </w:rPr>
      <w:tblPr/>
      <w:tcPr>
        <w:shd w:val="clear" w:color="FFFFFF" w:fill="E2EFD9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4D3EC" w:themeFill="accent1" w:themeFillTint="50"/>
      </w:tcPr>
    </w:tblStylePr>
    <w:tblStylePr w:type="band2Vert">
      <w:rPr>
        <w:sz w:val="22"/>
      </w:rPr>
      <w:tblPr/>
      <w:tcPr>
        <w:shd w:val="clear" w:color="FFFFFF" w:fill="C4D3EC" w:themeFill="accent1" w:themeFillTint="50"/>
      </w:tcPr>
    </w:tblStylePr>
    <w:tblStylePr w:type="firstCol">
      <w:rPr>
        <w:sz w:val="22"/>
      </w:rPr>
      <w:tblPr/>
      <w:tcPr>
        <w:shd w:val="clear" w:color="FFFFFF" w:fill="537EC9" w:themeFill="accent1" w:themeFillTint="ea"/>
      </w:tcPr>
    </w:tblStylePr>
    <w:tblStylePr w:type="firstRow">
      <w:rPr>
        <w:sz w:val="22"/>
      </w:rPr>
      <w:tblPr/>
      <w:tcPr>
        <w:shd w:val="clear" w:color="FFFFFF" w:fill="537EC9" w:themeFill="accent1" w:themeFillTint="ea"/>
      </w:tcPr>
    </w:tblStylePr>
    <w:tblStylePr w:type="lastCol">
      <w:rPr>
        <w:sz w:val="22"/>
      </w:rPr>
      <w:tblPr/>
      <w:tcPr>
        <w:shd w:val="clear" w:color="FFFFFF" w:fill="537EC9" w:themeFill="accent1" w:themeFillTint="ea"/>
      </w:tcPr>
    </w:tblStylePr>
    <w:tblStylePr w:type="lastRow">
      <w:rPr>
        <w:sz w:val="22"/>
      </w:rPr>
      <w:tblPr/>
      <w:tcPr>
        <w:shd w:val="clear" w:color="FFFFFF" w:fill="537EC9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BE6D7" w:themeFill="accent2" w:themeFillTint="32"/>
      </w:tcPr>
    </w:tblStylePr>
    <w:tblStylePr w:type="band2Vert">
      <w:rPr>
        <w:sz w:val="22"/>
      </w:rPr>
      <w:tblPr/>
      <w:tcPr>
        <w:shd w:val="clear" w:color="FFFFFF" w:fill="FBE6D7" w:themeFill="accent2" w:themeFillTint="32"/>
      </w:tcPr>
    </w:tblStylePr>
    <w:tblStylePr w:type="firstCol">
      <w:rPr>
        <w:sz w:val="22"/>
      </w:rPr>
      <w:tblPr/>
      <w:tcPr>
        <w:shd w:val="clear" w:color="FFFFFF" w:fill="F4B285" w:themeFill="accent2" w:themeFillTint="97"/>
      </w:tcPr>
    </w:tblStylePr>
    <w:tblStylePr w:type="firstRow">
      <w:rPr>
        <w:sz w:val="22"/>
      </w:rPr>
      <w:tblPr/>
      <w:tcPr>
        <w:shd w:val="clear" w:color="FFFFFF" w:fill="F4B285" w:themeFill="accent2" w:themeFillTint="97"/>
      </w:tcPr>
    </w:tblStylePr>
    <w:tblStylePr w:type="lastCol">
      <w:rPr>
        <w:sz w:val="22"/>
      </w:rPr>
      <w:tblPr/>
      <w:tcPr>
        <w:shd w:val="clear" w:color="FFFFFF" w:fill="F4B285" w:themeFill="accent2" w:themeFillTint="97"/>
      </w:tcPr>
    </w:tblStylePr>
    <w:tblStylePr w:type="lastRow">
      <w:rPr>
        <w:sz w:val="22"/>
      </w:rPr>
      <w:tblPr/>
      <w:tcPr>
        <w:shd w:val="clear" w:color="FFFFFF" w:fill="F4B285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DEDED" w:themeFill="accent3" w:themeFillTint="34"/>
      </w:tcPr>
    </w:tblStylePr>
    <w:tblStylePr w:type="band2Vert">
      <w:rPr>
        <w:sz w:val="22"/>
      </w:rPr>
      <w:tblPr/>
      <w:tcPr>
        <w:shd w:val="clear" w:color="FFFFFF" w:fill="EDEDED" w:themeFill="accent3" w:themeFillTint="34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firstCol">
      <w:rPr>
        <w:sz w:val="22"/>
      </w:rPr>
      <w:tblPr/>
      <w:tcPr>
        <w:shd w:val="clear" w:color="FFFFFF" w:fill="FFD965" w:themeFill="accent4" w:themeFillTint="9a"/>
      </w:tcPr>
    </w:tblStylePr>
    <w:tblStylePr w:type="firstRow">
      <w:rPr>
        <w:sz w:val="22"/>
      </w:rPr>
      <w:tblPr/>
      <w:tcPr>
        <w:shd w:val="clear" w:color="FFFFFF" w:fill="FFD965" w:themeFill="accent4" w:themeFillTint="9a"/>
      </w:tcPr>
    </w:tblStylePr>
    <w:tblStylePr w:type="lastCol">
      <w:rPr>
        <w:sz w:val="22"/>
      </w:rPr>
      <w:tblPr/>
      <w:tcPr>
        <w:shd w:val="clear" w:color="FFFFFF" w:fill="FFD965" w:themeFill="accent4" w:themeFillTint="9a"/>
      </w:tcPr>
    </w:tblStylePr>
    <w:tblStylePr w:type="lastRow">
      <w:rPr>
        <w:sz w:val="22"/>
      </w:rPr>
      <w:tblPr/>
      <w:tcPr>
        <w:shd w:val="clear" w:color="FFFFFF" w:fill="FFD965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EEBF6" w:themeFill="accent5" w:themeFillTint="34"/>
      </w:tcPr>
    </w:tblStylePr>
    <w:tblStylePr w:type="band2Vert">
      <w:rPr>
        <w:sz w:val="22"/>
      </w:rPr>
      <w:tblPr/>
      <w:tcPr>
        <w:shd w:val="clear" w:color="FFFFFF" w:fill="DEEBF6" w:themeFill="accent5" w:themeFillTint="34"/>
      </w:tcPr>
    </w:tblStylePr>
    <w:tblStylePr w:type="firstCol">
      <w:rPr>
        <w:sz w:val="22"/>
      </w:rPr>
      <w:tblPr/>
      <w:tcPr>
        <w:shd w:val="clear" w:color="FFFFFF" w:fill="5B9BD5" w:themeFill="accent5"/>
      </w:tcPr>
    </w:tblStylePr>
    <w:tblStylePr w:type="firstRow">
      <w:rPr>
        <w:sz w:val="22"/>
      </w:rPr>
      <w:tblPr/>
      <w:tcPr>
        <w:shd w:val="clear" w:color="FFFFFF" w:fill="5B9BD5" w:themeFill="accent5"/>
      </w:tcPr>
    </w:tblStylePr>
    <w:tblStylePr w:type="lastCol">
      <w:rPr>
        <w:sz w:val="22"/>
      </w:rPr>
      <w:tblPr/>
      <w:tcPr>
        <w:shd w:val="clear" w:color="FFFFFF" w:fill="5B9BD5" w:themeFill="accent5"/>
      </w:tcPr>
    </w:tblStylePr>
    <w:tblStylePr w:type="lastRow">
      <w:rPr>
        <w:sz w:val="22"/>
      </w:rPr>
      <w:tblPr/>
      <w:tcPr>
        <w:shd w:val="clear" w:color="FFFFFF" w:fill="5B9BD5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 &amp; Lined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2EFD9" w:themeFill="accent6" w:themeFillTint="34"/>
      </w:tcPr>
    </w:tblStylePr>
    <w:tblStylePr w:type="band2Vert">
      <w:rPr>
        <w:sz w:val="22"/>
      </w:rPr>
      <w:tblPr/>
      <w:tcPr>
        <w:shd w:val="clear" w:color="FFFFFF" w:fill="E2EFD9" w:themeFill="accent6" w:themeFillTint="34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1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2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3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4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5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7">
    <w:name w:val="Bordered - Accent 6"/>
    <w:basedOn w:val="78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782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8">
    <w:name w:val="Table Grid"/>
    <w:basedOn w:val="782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Application>LibreOffice/7.6.3.2$Windows_X86_64 LibreOffice_project/29d686fea9f6705b262d369fede658f824154cc0</Application>
  <AppVersion>15.0000</AppVersion>
  <Pages>22</Pages>
  <Words>3393</Words>
  <Characters>25523</Characters>
  <CharactersWithSpaces>28034</CharactersWithSpaces>
  <Paragraphs>667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2026-08-20T11:50:00Z</dcterms:created>
  <dc:creator>Karolina Pol</dc:creator>
  <dc:description/>
  <dc:language>pl-PL</dc:language>
  <cp:lastModifiedBy/>
  <cp:lastPrinted>2026-09-07T12:13:44Z</cp:lastPrinted>
  <dcterms:modified xsi:type="dcterms:W3CDTF">2026-09-09T11:21:44Z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